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9" w:type="dxa"/>
        <w:tblInd w:w="-743" w:type="dxa"/>
        <w:tblLayout w:type="fixed"/>
        <w:tblLook w:val="01E0" w:firstRow="1" w:lastRow="1" w:firstColumn="1" w:lastColumn="1" w:noHBand="0" w:noVBand="0"/>
      </w:tblPr>
      <w:tblGrid>
        <w:gridCol w:w="4854"/>
        <w:gridCol w:w="5655"/>
      </w:tblGrid>
      <w:tr w:rsidR="00C95FB6" w:rsidRPr="00BB1706" w14:paraId="705C2FF3" w14:textId="77777777" w:rsidTr="007B47DE">
        <w:trPr>
          <w:trHeight w:val="1430"/>
        </w:trPr>
        <w:tc>
          <w:tcPr>
            <w:tcW w:w="4854" w:type="dxa"/>
          </w:tcPr>
          <w:p w14:paraId="44F1B74C" w14:textId="77777777" w:rsidR="00E2266F" w:rsidRPr="00BB1706" w:rsidRDefault="0016695C" w:rsidP="00CE24CF">
            <w:pPr>
              <w:pStyle w:val="Heading4"/>
              <w:rPr>
                <w:color w:val="auto"/>
              </w:rPr>
            </w:pPr>
            <w:bookmarkStart w:id="0" w:name="_Hlk13643305"/>
            <w:r w:rsidRPr="00BB1706">
              <w:rPr>
                <w:color w:val="auto"/>
              </w:rPr>
              <w:t xml:space="preserve"> </w:t>
            </w:r>
            <w:r w:rsidR="00E2266F" w:rsidRPr="00BB1706">
              <w:rPr>
                <w:color w:val="auto"/>
              </w:rPr>
              <w:t>BỘ KHOA HỌC VÀ CÔNG NGHỆ</w:t>
            </w:r>
          </w:p>
          <w:p w14:paraId="0811B96D" w14:textId="0CF4C2DB" w:rsidR="00E2266F" w:rsidRPr="00BB1706" w:rsidRDefault="00CD4204" w:rsidP="008F2808">
            <w:pPr>
              <w:keepNext/>
              <w:widowControl w:val="0"/>
              <w:spacing w:before="360"/>
              <w:jc w:val="center"/>
              <w:rPr>
                <w:sz w:val="26"/>
                <w:szCs w:val="26"/>
              </w:rPr>
            </w:pPr>
            <w:r>
              <w:rPr>
                <w:noProof/>
                <w:sz w:val="26"/>
                <w:szCs w:val="26"/>
              </w:rPr>
              <mc:AlternateContent>
                <mc:Choice Requires="wps">
                  <w:drawing>
                    <wp:anchor distT="4294967292" distB="4294967292" distL="114300" distR="114300" simplePos="0" relativeHeight="251660288" behindDoc="0" locked="0" layoutInCell="1" allowOverlap="1" wp14:anchorId="19B8619E" wp14:editId="5185B8EC">
                      <wp:simplePos x="0" y="0"/>
                      <wp:positionH relativeFrom="column">
                        <wp:posOffset>927735</wp:posOffset>
                      </wp:positionH>
                      <wp:positionV relativeFrom="paragraph">
                        <wp:posOffset>80644</wp:posOffset>
                      </wp:positionV>
                      <wp:extent cx="1064260" cy="0"/>
                      <wp:effectExtent l="0" t="0" r="21590" b="19050"/>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CE77"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05pt,6.35pt" to="156.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"/>
                  </w:pict>
                </mc:Fallback>
              </mc:AlternateContent>
            </w:r>
            <w:r w:rsidR="00E2266F" w:rsidRPr="00BB1706">
              <w:rPr>
                <w:sz w:val="26"/>
                <w:szCs w:val="26"/>
              </w:rPr>
              <w:t xml:space="preserve">Số:  </w:t>
            </w:r>
            <w:r w:rsidR="00310007">
              <w:rPr>
                <w:sz w:val="26"/>
                <w:szCs w:val="26"/>
              </w:rPr>
              <w:t>09</w:t>
            </w:r>
            <w:r w:rsidR="00E2266F" w:rsidRPr="00BB1706">
              <w:rPr>
                <w:sz w:val="26"/>
                <w:szCs w:val="26"/>
              </w:rPr>
              <w:t>/</w:t>
            </w:r>
            <w:r w:rsidR="00E66DA2" w:rsidRPr="00BB1706">
              <w:rPr>
                <w:sz w:val="26"/>
                <w:szCs w:val="26"/>
              </w:rPr>
              <w:t>2022</w:t>
            </w:r>
            <w:r w:rsidR="00E2266F" w:rsidRPr="00BB1706">
              <w:rPr>
                <w:sz w:val="26"/>
                <w:szCs w:val="26"/>
              </w:rPr>
              <w:t>/TT-BKHCN</w:t>
            </w:r>
          </w:p>
          <w:p w14:paraId="2B035168" w14:textId="77777777" w:rsidR="00E2266F" w:rsidRPr="00BB1706" w:rsidRDefault="00E2266F" w:rsidP="00CE24CF">
            <w:pPr>
              <w:rPr>
                <w:b/>
                <w:sz w:val="44"/>
                <w:szCs w:val="14"/>
              </w:rPr>
            </w:pPr>
          </w:p>
        </w:tc>
        <w:tc>
          <w:tcPr>
            <w:tcW w:w="5655" w:type="dxa"/>
          </w:tcPr>
          <w:p w14:paraId="3956CF35" w14:textId="77777777" w:rsidR="00E2266F" w:rsidRPr="00BB1706" w:rsidRDefault="00E2266F" w:rsidP="00CE24CF">
            <w:pPr>
              <w:pStyle w:val="Heading4"/>
              <w:rPr>
                <w:color w:val="auto"/>
              </w:rPr>
            </w:pPr>
            <w:r w:rsidRPr="00BB1706">
              <w:rPr>
                <w:color w:val="auto"/>
              </w:rPr>
              <w:t>CỘNG HÒA XÃ HỘI CHỦ NGHĨA VIỆT NAM</w:t>
            </w:r>
          </w:p>
          <w:p w14:paraId="52580895" w14:textId="77777777" w:rsidR="00E2266F" w:rsidRPr="00BB1706" w:rsidRDefault="00E2266F" w:rsidP="00CE24CF">
            <w:pPr>
              <w:keepNext/>
              <w:widowControl w:val="0"/>
              <w:jc w:val="center"/>
              <w:rPr>
                <w:b/>
                <w:szCs w:val="26"/>
              </w:rPr>
            </w:pPr>
            <w:r w:rsidRPr="00BB1706">
              <w:rPr>
                <w:b/>
                <w:szCs w:val="26"/>
              </w:rPr>
              <w:t>Độc lập - Tự do - Hạnh phúc</w:t>
            </w:r>
          </w:p>
          <w:p w14:paraId="164E1E4A" w14:textId="77777777" w:rsidR="00E2266F" w:rsidRPr="00BB1706" w:rsidRDefault="00CD4204" w:rsidP="00CE24CF">
            <w:pPr>
              <w:keepNext/>
              <w:widowControl w:val="0"/>
              <w:jc w:val="center"/>
              <w:rPr>
                <w:i/>
                <w:sz w:val="18"/>
              </w:rPr>
            </w:pPr>
            <w:r>
              <w:rPr>
                <w:noProof/>
                <w:sz w:val="18"/>
                <w:szCs w:val="28"/>
              </w:rPr>
              <mc:AlternateContent>
                <mc:Choice Requires="wps">
                  <w:drawing>
                    <wp:anchor distT="4294967291" distB="4294967291" distL="114300" distR="114300" simplePos="0" relativeHeight="251659264" behindDoc="0" locked="0" layoutInCell="1" allowOverlap="1" wp14:anchorId="12141D5D" wp14:editId="28B73448">
                      <wp:simplePos x="0" y="0"/>
                      <wp:positionH relativeFrom="column">
                        <wp:posOffset>728980</wp:posOffset>
                      </wp:positionH>
                      <wp:positionV relativeFrom="paragraph">
                        <wp:posOffset>20955</wp:posOffset>
                      </wp:positionV>
                      <wp:extent cx="2030095" cy="0"/>
                      <wp:effectExtent l="0" t="0" r="27305" b="19050"/>
                      <wp:wrapNone/>
                      <wp:docPr id="4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6B2C"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4pt,1.65pt" to="21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"/>
                  </w:pict>
                </mc:Fallback>
              </mc:AlternateContent>
            </w:r>
          </w:p>
          <w:p w14:paraId="4DECAE69" w14:textId="77777777" w:rsidR="00E2266F" w:rsidRPr="00BB1706" w:rsidRDefault="00E2266F" w:rsidP="00CE24CF">
            <w:pPr>
              <w:keepNext/>
              <w:widowControl w:val="0"/>
              <w:rPr>
                <w:i/>
                <w:sz w:val="2"/>
              </w:rPr>
            </w:pPr>
          </w:p>
          <w:p w14:paraId="0BEBCE76" w14:textId="34407728" w:rsidR="00E2266F" w:rsidRPr="00BB1706" w:rsidRDefault="00E2266F" w:rsidP="008C00E3">
            <w:pPr>
              <w:keepNext/>
              <w:widowControl w:val="0"/>
              <w:jc w:val="center"/>
              <w:rPr>
                <w:i/>
              </w:rPr>
            </w:pPr>
            <w:r w:rsidRPr="00BB1706">
              <w:rPr>
                <w:i/>
                <w:szCs w:val="28"/>
              </w:rPr>
              <w:t>Hà Nộ</w:t>
            </w:r>
            <w:r w:rsidR="008F2808" w:rsidRPr="00BB1706">
              <w:rPr>
                <w:i/>
                <w:szCs w:val="28"/>
              </w:rPr>
              <w:t xml:space="preserve">i, ngày </w:t>
            </w:r>
            <w:r w:rsidR="00310007">
              <w:rPr>
                <w:i/>
                <w:szCs w:val="28"/>
              </w:rPr>
              <w:t>28</w:t>
            </w:r>
            <w:r w:rsidR="008F2808" w:rsidRPr="00BB1706">
              <w:rPr>
                <w:i/>
                <w:szCs w:val="28"/>
              </w:rPr>
              <w:t xml:space="preserve"> tháng</w:t>
            </w:r>
            <w:r w:rsidR="008C00E3">
              <w:rPr>
                <w:i/>
                <w:szCs w:val="28"/>
              </w:rPr>
              <w:t xml:space="preserve"> </w:t>
            </w:r>
            <w:r w:rsidR="00310007">
              <w:rPr>
                <w:i/>
                <w:szCs w:val="28"/>
              </w:rPr>
              <w:t>7</w:t>
            </w:r>
            <w:r w:rsidRPr="00BB1706">
              <w:rPr>
                <w:i/>
                <w:szCs w:val="28"/>
              </w:rPr>
              <w:t xml:space="preserve"> năm </w:t>
            </w:r>
            <w:r w:rsidR="00E66DA2" w:rsidRPr="00BB1706">
              <w:rPr>
                <w:i/>
                <w:szCs w:val="28"/>
              </w:rPr>
              <w:t>2022</w:t>
            </w:r>
          </w:p>
        </w:tc>
      </w:tr>
    </w:tbl>
    <w:p w14:paraId="1BA86821" w14:textId="77777777" w:rsidR="00E2266F" w:rsidRPr="00BB1706" w:rsidRDefault="00E2266F" w:rsidP="00E2266F">
      <w:pPr>
        <w:spacing w:before="120"/>
        <w:jc w:val="center"/>
        <w:rPr>
          <w:b/>
          <w:sz w:val="2"/>
          <w:szCs w:val="2"/>
        </w:rPr>
      </w:pPr>
    </w:p>
    <w:p w14:paraId="26AF6E5D" w14:textId="77777777" w:rsidR="00E2266F" w:rsidRPr="00BB1706" w:rsidRDefault="00E2266F" w:rsidP="00B515EF">
      <w:pPr>
        <w:spacing w:before="120" w:line="340" w:lineRule="exact"/>
        <w:jc w:val="center"/>
        <w:rPr>
          <w:b/>
          <w:sz w:val="30"/>
        </w:rPr>
      </w:pPr>
      <w:r w:rsidRPr="00BB1706">
        <w:rPr>
          <w:b/>
          <w:sz w:val="30"/>
        </w:rPr>
        <w:t>THÔNG TƯ</w:t>
      </w:r>
    </w:p>
    <w:p w14:paraId="3329BE5A" w14:textId="77777777" w:rsidR="00E2266F" w:rsidRPr="00BB1706" w:rsidRDefault="00C11DF3" w:rsidP="00B515EF">
      <w:pPr>
        <w:spacing w:before="120" w:line="340" w:lineRule="exact"/>
        <w:jc w:val="center"/>
        <w:rPr>
          <w:b/>
          <w:sz w:val="30"/>
        </w:rPr>
      </w:pPr>
      <w:r w:rsidRPr="00BB1706">
        <w:rPr>
          <w:b/>
          <w:szCs w:val="28"/>
        </w:rPr>
        <w:t>Ban hành định mức kinh tế - kỹ thuật lập, thẩm định, công bố, điều chỉnh quy hoạch phát triển, ứng dụng năng lượng nguyên tử</w:t>
      </w:r>
    </w:p>
    <w:p w14:paraId="637850FE" w14:textId="15A39434" w:rsidR="00E2266F" w:rsidRPr="00BB1706" w:rsidRDefault="00310007" w:rsidP="00B515EF">
      <w:pPr>
        <w:spacing w:before="120" w:line="340" w:lineRule="exact"/>
        <w:jc w:val="center"/>
        <w:rPr>
          <w:b/>
          <w:sz w:val="30"/>
        </w:rPr>
      </w:pPr>
      <w:r>
        <w:rPr>
          <w:b/>
          <w:sz w:val="30"/>
        </w:rPr>
        <w:t>____________________</w:t>
      </w:r>
    </w:p>
    <w:p w14:paraId="19C8195C" w14:textId="1CAAE396" w:rsidR="00BE1C68" w:rsidRPr="00BB1706" w:rsidRDefault="00E2266F" w:rsidP="00B515EF">
      <w:pPr>
        <w:pStyle w:val="BodyTextIndent"/>
        <w:keepNext/>
        <w:widowControl w:val="0"/>
        <w:spacing w:before="120" w:after="0" w:line="340" w:lineRule="exact"/>
        <w:ind w:left="0" w:firstLine="709"/>
        <w:rPr>
          <w:i/>
          <w:szCs w:val="28"/>
        </w:rPr>
      </w:pPr>
      <w:r w:rsidRPr="00BB1706">
        <w:rPr>
          <w:i/>
          <w:szCs w:val="28"/>
        </w:rPr>
        <w:t xml:space="preserve">Căn cứ </w:t>
      </w:r>
      <w:r w:rsidR="009B3D90" w:rsidRPr="00BB1706">
        <w:rPr>
          <w:i/>
          <w:szCs w:val="28"/>
        </w:rPr>
        <w:t xml:space="preserve">Luật </w:t>
      </w:r>
      <w:r w:rsidR="008C6CE5">
        <w:rPr>
          <w:i/>
          <w:szCs w:val="28"/>
        </w:rPr>
        <w:t>N</w:t>
      </w:r>
      <w:bookmarkStart w:id="1" w:name="_GoBack"/>
      <w:bookmarkEnd w:id="1"/>
      <w:r w:rsidR="00E66DA2" w:rsidRPr="00BB1706">
        <w:rPr>
          <w:i/>
          <w:szCs w:val="28"/>
        </w:rPr>
        <w:t xml:space="preserve">ăng </w:t>
      </w:r>
      <w:r w:rsidR="009B3D90" w:rsidRPr="00BB1706">
        <w:rPr>
          <w:i/>
          <w:szCs w:val="28"/>
        </w:rPr>
        <w:t>lượng nguyên tử</w:t>
      </w:r>
      <w:r w:rsidR="008905E2" w:rsidRPr="00BB1706">
        <w:rPr>
          <w:i/>
          <w:szCs w:val="28"/>
        </w:rPr>
        <w:t xml:space="preserve"> ngày 03 tháng 6 năm </w:t>
      </w:r>
      <w:r w:rsidR="009B3D90" w:rsidRPr="00BB1706">
        <w:rPr>
          <w:i/>
          <w:szCs w:val="28"/>
        </w:rPr>
        <w:t>2008;</w:t>
      </w:r>
    </w:p>
    <w:p w14:paraId="2C81A648" w14:textId="77777777" w:rsidR="009B3D90" w:rsidRPr="00BB1706" w:rsidRDefault="00B33381" w:rsidP="00B515EF">
      <w:pPr>
        <w:pStyle w:val="BodyTextIndent"/>
        <w:keepNext/>
        <w:widowControl w:val="0"/>
        <w:spacing w:before="120" w:after="0" w:line="340" w:lineRule="exact"/>
        <w:ind w:left="0" w:firstLine="709"/>
        <w:rPr>
          <w:i/>
          <w:szCs w:val="28"/>
        </w:rPr>
      </w:pPr>
      <w:r>
        <w:rPr>
          <w:i/>
          <w:szCs w:val="28"/>
        </w:rPr>
        <w:t xml:space="preserve">Căn cứ </w:t>
      </w:r>
      <w:r w:rsidR="00BE1C68" w:rsidRPr="00BB1706">
        <w:rPr>
          <w:i/>
          <w:szCs w:val="28"/>
        </w:rPr>
        <w:t xml:space="preserve">Luật Quy hoạch ngày </w:t>
      </w:r>
      <w:r w:rsidR="00037F24" w:rsidRPr="00BB1706">
        <w:rPr>
          <w:i/>
          <w:szCs w:val="28"/>
        </w:rPr>
        <w:t>24 tháng 11 năm 2017;</w:t>
      </w:r>
      <w:r w:rsidR="009B3D90" w:rsidRPr="00BB1706">
        <w:rPr>
          <w:i/>
          <w:szCs w:val="28"/>
        </w:rPr>
        <w:t xml:space="preserve"> Luật sửa đổi, bổ sung một số điều của 37 luật có liên quan đến quy hoạch ngày 20</w:t>
      </w:r>
      <w:r w:rsidR="00E66DA2" w:rsidRPr="00BB1706">
        <w:rPr>
          <w:i/>
          <w:szCs w:val="28"/>
        </w:rPr>
        <w:t xml:space="preserve"> tháng </w:t>
      </w:r>
      <w:r w:rsidR="009B3D90" w:rsidRPr="00BB1706">
        <w:rPr>
          <w:i/>
          <w:szCs w:val="28"/>
        </w:rPr>
        <w:t>11</w:t>
      </w:r>
      <w:r w:rsidR="00E66DA2" w:rsidRPr="00BB1706">
        <w:rPr>
          <w:i/>
          <w:szCs w:val="28"/>
        </w:rPr>
        <w:t xml:space="preserve"> năm </w:t>
      </w:r>
      <w:r w:rsidR="009B3D90" w:rsidRPr="00BB1706">
        <w:rPr>
          <w:i/>
          <w:szCs w:val="28"/>
        </w:rPr>
        <w:t>2018</w:t>
      </w:r>
      <w:r w:rsidR="008F2808" w:rsidRPr="00BB1706">
        <w:rPr>
          <w:i/>
          <w:szCs w:val="28"/>
        </w:rPr>
        <w:t>;</w:t>
      </w:r>
    </w:p>
    <w:p w14:paraId="04D4D30E" w14:textId="77777777" w:rsidR="00E2266F" w:rsidRPr="00BB1706" w:rsidRDefault="009B3D90" w:rsidP="00B515EF">
      <w:pPr>
        <w:pStyle w:val="BodyTextIndent"/>
        <w:keepNext/>
        <w:widowControl w:val="0"/>
        <w:spacing w:before="120" w:after="0" w:line="340" w:lineRule="exact"/>
        <w:ind w:left="0" w:firstLine="709"/>
        <w:rPr>
          <w:i/>
          <w:szCs w:val="28"/>
        </w:rPr>
      </w:pPr>
      <w:r w:rsidRPr="00BB1706">
        <w:rPr>
          <w:i/>
          <w:szCs w:val="28"/>
        </w:rPr>
        <w:t xml:space="preserve">Căn cứ </w:t>
      </w:r>
      <w:r w:rsidR="00E2266F" w:rsidRPr="00BB1706">
        <w:rPr>
          <w:i/>
          <w:szCs w:val="28"/>
        </w:rPr>
        <w:t>Nghị định số</w:t>
      </w:r>
      <w:r w:rsidR="008905E2" w:rsidRPr="00BB1706">
        <w:rPr>
          <w:i/>
          <w:szCs w:val="28"/>
        </w:rPr>
        <w:t xml:space="preserve"> 95/2017/NĐ-CP ngày 16 tháng 8 năm </w:t>
      </w:r>
      <w:r w:rsidR="00E2266F" w:rsidRPr="00BB1706">
        <w:rPr>
          <w:i/>
          <w:szCs w:val="28"/>
        </w:rPr>
        <w:t>2017 của Chính phủ quy định chức năng, nhiệm vụ, quyền hạn và cơ cấu tổ chức của Bộ Khoa học và Công nghệ;</w:t>
      </w:r>
    </w:p>
    <w:p w14:paraId="73B16AB8" w14:textId="77777777" w:rsidR="00E2266F" w:rsidRPr="00BB1706" w:rsidRDefault="00E2266F" w:rsidP="00B515EF">
      <w:pPr>
        <w:pStyle w:val="BodyTextIndent"/>
        <w:keepNext/>
        <w:widowControl w:val="0"/>
        <w:spacing w:before="120" w:after="0" w:line="340" w:lineRule="exact"/>
        <w:ind w:left="0" w:firstLine="709"/>
        <w:rPr>
          <w:i/>
          <w:szCs w:val="28"/>
        </w:rPr>
      </w:pPr>
      <w:r w:rsidRPr="00BB1706">
        <w:rPr>
          <w:i/>
          <w:szCs w:val="28"/>
        </w:rPr>
        <w:t xml:space="preserve">Căn cứ Nghị định số </w:t>
      </w:r>
      <w:r w:rsidR="008905E2" w:rsidRPr="00BB1706">
        <w:rPr>
          <w:i/>
          <w:szCs w:val="28"/>
        </w:rPr>
        <w:t xml:space="preserve">41/2019/NĐ-CP ngày 15 tháng 5 năm </w:t>
      </w:r>
      <w:r w:rsidR="009B3D90" w:rsidRPr="00BB1706">
        <w:rPr>
          <w:i/>
          <w:szCs w:val="28"/>
        </w:rPr>
        <w:t>2019 của Chính phủ quy định chi tiết việc lập, thẩm định, phê duyệt, công bố, thực hiện, đánh giá và điều chỉnh quy hoạch phát triển, ứng dụng năng lượng nguyên tử;</w:t>
      </w:r>
    </w:p>
    <w:p w14:paraId="7857FC3E" w14:textId="77777777" w:rsidR="00CE0B09" w:rsidRPr="00BB1706" w:rsidRDefault="00CE0B09">
      <w:pPr>
        <w:pStyle w:val="BodyTextIndent"/>
        <w:keepNext/>
        <w:widowControl w:val="0"/>
        <w:spacing w:before="120" w:after="0" w:line="340" w:lineRule="exact"/>
        <w:ind w:left="0" w:firstLine="709"/>
        <w:rPr>
          <w:i/>
          <w:szCs w:val="28"/>
        </w:rPr>
      </w:pPr>
      <w:r w:rsidRPr="00BB1706">
        <w:rPr>
          <w:i/>
          <w:szCs w:val="28"/>
        </w:rPr>
        <w:t>Thực hiện Nghị quyết số 119/NQ-CP ngày 27 tháng 9 năm 2021 của Chính phủ về các nhiệm vụ và giải pháp để nâng cao chất lượng và đẩy nhanh tiến độ lập các quy hoạch thời kỳ 2021 - 2030;</w:t>
      </w:r>
    </w:p>
    <w:p w14:paraId="6274C9D6" w14:textId="77777777" w:rsidR="00E2266F" w:rsidRPr="00310007" w:rsidRDefault="00E2266F" w:rsidP="00B515EF">
      <w:pPr>
        <w:spacing w:before="120" w:line="340" w:lineRule="exact"/>
        <w:ind w:firstLine="709"/>
        <w:rPr>
          <w:i/>
          <w:spacing w:val="-8"/>
          <w:szCs w:val="28"/>
        </w:rPr>
      </w:pPr>
      <w:r w:rsidRPr="00310007">
        <w:rPr>
          <w:i/>
          <w:spacing w:val="-8"/>
          <w:szCs w:val="28"/>
        </w:rPr>
        <w:t xml:space="preserve">Theo đề nghị của </w:t>
      </w:r>
      <w:r w:rsidR="009819AA" w:rsidRPr="00310007">
        <w:rPr>
          <w:i/>
          <w:spacing w:val="-8"/>
          <w:szCs w:val="28"/>
        </w:rPr>
        <w:t>Cục trưởng Cục Năng lượng nguyên tử,</w:t>
      </w:r>
      <w:r w:rsidR="00A54C91" w:rsidRPr="00310007">
        <w:rPr>
          <w:i/>
          <w:spacing w:val="-8"/>
          <w:szCs w:val="28"/>
        </w:rPr>
        <w:t xml:space="preserve"> </w:t>
      </w:r>
      <w:r w:rsidRPr="00310007">
        <w:rPr>
          <w:i/>
          <w:spacing w:val="-8"/>
          <w:szCs w:val="28"/>
        </w:rPr>
        <w:t>Vụ trưởng Vụ Pháp chế</w:t>
      </w:r>
      <w:r w:rsidR="008F2808" w:rsidRPr="00310007">
        <w:rPr>
          <w:i/>
          <w:spacing w:val="-8"/>
          <w:szCs w:val="28"/>
        </w:rPr>
        <w:t>;</w:t>
      </w:r>
    </w:p>
    <w:p w14:paraId="35700590" w14:textId="77777777" w:rsidR="00E2266F" w:rsidRPr="00BB1706" w:rsidRDefault="00E2266F" w:rsidP="00E81BBA">
      <w:pPr>
        <w:spacing w:before="120" w:line="340" w:lineRule="exact"/>
        <w:ind w:firstLine="709"/>
        <w:rPr>
          <w:i/>
          <w:szCs w:val="28"/>
        </w:rPr>
      </w:pPr>
      <w:r w:rsidRPr="00BB1706">
        <w:rPr>
          <w:i/>
          <w:szCs w:val="28"/>
        </w:rPr>
        <w:t xml:space="preserve">Bộ trưởng Bộ Khoa học và Công nghệ ban hành Thông tư </w:t>
      </w:r>
      <w:r w:rsidR="009819AA" w:rsidRPr="00BB1706">
        <w:rPr>
          <w:i/>
          <w:szCs w:val="28"/>
        </w:rPr>
        <w:t xml:space="preserve">ban hành </w:t>
      </w:r>
      <w:r w:rsidR="001D16FD" w:rsidRPr="00BB1706">
        <w:rPr>
          <w:i/>
          <w:szCs w:val="28"/>
        </w:rPr>
        <w:t>đ</w:t>
      </w:r>
      <w:r w:rsidR="009819AA" w:rsidRPr="00BB1706">
        <w:rPr>
          <w:i/>
          <w:szCs w:val="28"/>
        </w:rPr>
        <w:t>ịnh mức kinh tế - kỹ thuật lập, thẩm định, công bố, điều chỉnh quy hoạch phát triển, ứng dụ</w:t>
      </w:r>
      <w:r w:rsidR="00F46A5D">
        <w:rPr>
          <w:i/>
          <w:szCs w:val="28"/>
        </w:rPr>
        <w:t>ng</w:t>
      </w:r>
      <w:r w:rsidR="009819AA" w:rsidRPr="00BB1706">
        <w:rPr>
          <w:i/>
          <w:szCs w:val="28"/>
        </w:rPr>
        <w:t xml:space="preserve"> năng lượng nguyên tử.</w:t>
      </w:r>
    </w:p>
    <w:p w14:paraId="25923197" w14:textId="77777777" w:rsidR="00E2266F" w:rsidRPr="00BB1706" w:rsidRDefault="00E2266F" w:rsidP="00E81BBA">
      <w:pPr>
        <w:spacing w:before="120" w:line="340" w:lineRule="exact"/>
        <w:ind w:firstLine="709"/>
        <w:rPr>
          <w:b/>
          <w:bCs/>
          <w:sz w:val="2"/>
          <w:szCs w:val="20"/>
        </w:rPr>
      </w:pPr>
    </w:p>
    <w:p w14:paraId="09D74F0E" w14:textId="77777777" w:rsidR="00310007" w:rsidRPr="00310007" w:rsidRDefault="00310007" w:rsidP="00310007">
      <w:pPr>
        <w:shd w:val="clear" w:color="auto" w:fill="FFFFFF"/>
        <w:ind w:firstLine="709"/>
        <w:rPr>
          <w:rFonts w:eastAsia="Times New Roman"/>
          <w:szCs w:val="28"/>
        </w:rPr>
      </w:pPr>
      <w:bookmarkStart w:id="2" w:name="dieu_1"/>
      <w:r w:rsidRPr="00310007">
        <w:rPr>
          <w:rFonts w:eastAsia="Times New Roman"/>
          <w:b/>
          <w:bCs/>
          <w:szCs w:val="28"/>
          <w:lang w:val="vi-VN"/>
        </w:rPr>
        <w:t>Điều 1. Phạm vi điều chỉnh</w:t>
      </w:r>
      <w:bookmarkEnd w:id="2"/>
    </w:p>
    <w:p w14:paraId="24007B71"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Thông tư này ban hành định mức kinh tế - kỹ thuật cho các hoạt động sau:</w:t>
      </w:r>
    </w:p>
    <w:p w14:paraId="418C7019"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Lập, thẩm định nhiệm vụ lập quy hoạch phát triển, ứng dụng năng lượng nguyên tử (sau đây gọi tắt là quy hoạch).</w:t>
      </w:r>
    </w:p>
    <w:p w14:paraId="43B544F3"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2. Tổ chức lập, thẩm định, công bố, điều chỉnh quy hoạch.</w:t>
      </w:r>
    </w:p>
    <w:p w14:paraId="1C22FE43" w14:textId="77777777" w:rsidR="00310007" w:rsidRPr="00310007" w:rsidRDefault="00310007" w:rsidP="00310007">
      <w:pPr>
        <w:shd w:val="clear" w:color="auto" w:fill="FFFFFF"/>
        <w:ind w:firstLine="709"/>
        <w:rPr>
          <w:rFonts w:eastAsia="Times New Roman"/>
          <w:szCs w:val="28"/>
        </w:rPr>
      </w:pPr>
      <w:bookmarkStart w:id="3" w:name="dieu_2"/>
      <w:r w:rsidRPr="00310007">
        <w:rPr>
          <w:rFonts w:eastAsia="Times New Roman"/>
          <w:b/>
          <w:bCs/>
          <w:szCs w:val="28"/>
          <w:lang w:val="vi-VN"/>
        </w:rPr>
        <w:t>Điều 2. Đối tượng áp dụng</w:t>
      </w:r>
      <w:bookmarkEnd w:id="3"/>
    </w:p>
    <w:p w14:paraId="05811DF8"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Cơ quan tổ chức thực hiện lập quy hoạch, cơ quan tổ chức thực hiện lập hợp phần quy hoạch, cơ quan lập quy hoạch, cơ quan lập hợp phần quy hoạch.</w:t>
      </w:r>
    </w:p>
    <w:p w14:paraId="45676D76"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2. Tổ chức tư vấn lập quy hoạch, tổ chức tư vấn lập hợp phần quy hoạch.</w:t>
      </w:r>
    </w:p>
    <w:p w14:paraId="2BDF34D1"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rPr>
        <w:t>3. </w:t>
      </w:r>
      <w:r w:rsidRPr="00310007">
        <w:rPr>
          <w:rFonts w:eastAsia="Times New Roman"/>
          <w:szCs w:val="28"/>
          <w:lang w:val="vi-VN"/>
        </w:rPr>
        <w:t>Cơ quan nhà nước, đơn vị sự nghiệp công lập, tổ chức, cá nhân liên quan đến công tác lập, thẩm định, công bố, điều chỉnh quy hoạch.</w:t>
      </w:r>
    </w:p>
    <w:p w14:paraId="2CF9ED73" w14:textId="77777777" w:rsidR="00310007" w:rsidRPr="00310007" w:rsidRDefault="00310007" w:rsidP="00310007">
      <w:pPr>
        <w:shd w:val="clear" w:color="auto" w:fill="FFFFFF"/>
        <w:ind w:firstLine="709"/>
        <w:rPr>
          <w:rFonts w:eastAsia="Times New Roman"/>
          <w:szCs w:val="28"/>
        </w:rPr>
      </w:pPr>
      <w:bookmarkStart w:id="4" w:name="dieu_3"/>
      <w:r w:rsidRPr="00310007">
        <w:rPr>
          <w:rFonts w:eastAsia="Times New Roman"/>
          <w:b/>
          <w:bCs/>
          <w:szCs w:val="28"/>
          <w:lang w:val="vi-VN"/>
        </w:rPr>
        <w:lastRenderedPageBreak/>
        <w:t>Điều 3. Nguyên tắc áp dụng định mức</w:t>
      </w:r>
      <w:bookmarkEnd w:id="4"/>
    </w:p>
    <w:p w14:paraId="0B171F1C"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Định mức ban hành tại Thông tư này là định mức tối đa để các cơ quan được nêu tại Điều 2 Thông tư này thực hiện các nội dung công việc trong hoạt động lập, thẩm định, công bố và điều chỉnh quy hoạch.</w:t>
      </w:r>
    </w:p>
    <w:p w14:paraId="11112FD8"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2. Căn cứ theo yêu cầu nhiệm vụ lập quy hoạch, trường hợp cần thiết phải thực hiện các công việc điều tra cơ bản thì áp dụng định mức theo quy định pháp luật, trình cấp có thẩm quyền quyết định.</w:t>
      </w:r>
    </w:p>
    <w:p w14:paraId="5B652D8F" w14:textId="77777777" w:rsidR="00310007" w:rsidRPr="00310007" w:rsidRDefault="00310007" w:rsidP="00310007">
      <w:pPr>
        <w:shd w:val="clear" w:color="auto" w:fill="FFFFFF"/>
        <w:ind w:firstLine="709"/>
        <w:rPr>
          <w:rFonts w:eastAsia="Times New Roman"/>
          <w:szCs w:val="28"/>
        </w:rPr>
      </w:pPr>
      <w:bookmarkStart w:id="5" w:name="dieu_4"/>
      <w:r w:rsidRPr="00310007">
        <w:rPr>
          <w:rFonts w:eastAsia="Times New Roman"/>
          <w:b/>
          <w:bCs/>
          <w:szCs w:val="28"/>
          <w:lang w:val="vi-VN"/>
        </w:rPr>
        <w:t>Điều 4. Phương pháp xây dựng định mức kinh tế - kỹ thuật</w:t>
      </w:r>
      <w:bookmarkEnd w:id="5"/>
    </w:p>
    <w:p w14:paraId="5391BAB6"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Xây dựng định mức áp dụng quy định tại các văn bản quy phạm pháp luật, bao gồm:</w:t>
      </w:r>
    </w:p>
    <w:p w14:paraId="18B4CA50"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a) Nghị định số 63/20</w:t>
      </w:r>
      <w:r w:rsidRPr="00310007">
        <w:rPr>
          <w:rFonts w:eastAsia="Times New Roman"/>
          <w:szCs w:val="28"/>
        </w:rPr>
        <w:t>14/NĐ-CP </w:t>
      </w:r>
      <w:r w:rsidRPr="00310007">
        <w:rPr>
          <w:rFonts w:eastAsia="Times New Roman"/>
          <w:szCs w:val="28"/>
          <w:lang w:val="vi-VN"/>
        </w:rPr>
        <w:t>ngày 26 tháng 6 năm 2014 của Chính phủ quy định chi tiết thi hành một số điều của luật đấu thầu về lựa chọn nhà thầu;</w:t>
      </w:r>
    </w:p>
    <w:p w14:paraId="6AC20BA4" w14:textId="196B2667"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b) Thông tư số 02/2015/TT-BLĐTBXH ngày 12 tháng 01 năm 2015 của Bộ trưởng Bộ Lao động - Thương binh và Xã hội về quy định mức lương đối với chuyên gia tư vấn trong nước làm cơ sở dự toán gói thầu cung cấp dịch vụ tư vấn áp dụng hình thức hợp đồng theo thời gian sử dụng vốn nhà nước;</w:t>
      </w:r>
    </w:p>
    <w:p w14:paraId="314595B4" w14:textId="16439737"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c) Thông tư liên tịch số 55/2015/TTLT-BTC-BKHCN ngày 22 tháng 4 năm 2015 của Bộ trưởng Bộ Tài chính và Bộ trưởng Bộ Khoa học và Công nghệ hướng dẫn xây dựng định mức, phân bổ dự toán và quyết toán kinh phí đối với nhiệm vụ khoa học và công nghệ có sử dụng ngân sách nhà nước;</w:t>
      </w:r>
    </w:p>
    <w:p w14:paraId="558CEF49" w14:textId="1C773B96"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d) Thông tư số 40/2017/TT-BTC ngày 28 tháng 4 năm 2017 của Bộ trưởng Bộ Tài chính quy định chế độ công tác phí, chế độ chi hội nghị;</w:t>
      </w:r>
    </w:p>
    <w:p w14:paraId="1AC495A5" w14:textId="129BB656"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đ) Thông tư số 113/2018/TT-BTC ngày 15 tháng 11 năm 2018 của Bộ trưởng Bộ Tài chính quy định về giá trong hoạt động quy hoạch;</w:t>
      </w:r>
    </w:p>
    <w:p w14:paraId="02AD916B" w14:textId="48665D13"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e) Thông tư số 08/2019/TT-BKHĐT ngày 17 tháng 5 năm 2019 của Bộ trưởng Bộ Kế hoạch và Đầu tư hướng dẫn về định mức cho hoạt động quy hoạch;</w:t>
      </w:r>
    </w:p>
    <w:p w14:paraId="57B06B5E" w14:textId="1B6B70B4"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g) Thông tư số 21/2019/TT-BKHCN ngày 18 tháng 12 năm 2019 của Bộ trưởng Bộ Khoa học và Công nghệ quy định quy trình xây dựng định mức kinh tế - kỹ thuật dịch vụ sự nghiệp công sử dụng ngân sách nhà nước thuộc lĩnh vực quản lý nhà nước của Bộ Khoa học và Công nghệ;</w:t>
      </w:r>
    </w:p>
    <w:p w14:paraId="2613E984"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h) Các văn bản, quy định khác liên quan.</w:t>
      </w:r>
    </w:p>
    <w:p w14:paraId="64F23ACD"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Các văn bản quy phạm pháp luật được dẫn chiếu tại Thông tư này được sửa đổi, bổ sung hoặc thay thế bằng văn bản quy phạm pháp luật khác thì áp dụng theo các văn bản quy phạm pháp luật được sửa đổi, bổ sung, thay thế đó.</w:t>
      </w:r>
    </w:p>
    <w:p w14:paraId="3BC6C01C"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2. Phương pháp xây dựng định mức chưa có quy định cụ thể</w:t>
      </w:r>
    </w:p>
    <w:p w14:paraId="52C4D2C1" w14:textId="77777777"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Phương pháp xây dựng định mức chưa có văn bản quy phạm pháp luật quy định cụ thể áp dụng theo quy định tại </w:t>
      </w:r>
      <w:bookmarkStart w:id="6" w:name="dc_1"/>
      <w:r w:rsidRPr="00310007">
        <w:rPr>
          <w:rFonts w:eastAsia="Times New Roman"/>
          <w:szCs w:val="28"/>
          <w:lang w:val="vi-VN"/>
        </w:rPr>
        <w:t>Điều 10 Thông tư số 21/2019/TT-BKHCN</w:t>
      </w:r>
      <w:bookmarkEnd w:id="6"/>
      <w:r w:rsidRPr="00310007">
        <w:rPr>
          <w:rFonts w:eastAsia="Times New Roman"/>
          <w:szCs w:val="28"/>
          <w:lang w:val="vi-VN"/>
        </w:rPr>
        <w:t> ngày 18 tháng 12 năm 2019 của Bộ trưởng Bộ Khoa học và Công nghệ quy định quy trình xây dựng định mức kinh tế kỹ thuật dịch vụ sự nghiệp công sử dụng ngân sách nhà nước thuộc lĩnh vực quản lý nhà nước của Bộ Khoa học và Công nghệ.</w:t>
      </w:r>
    </w:p>
    <w:p w14:paraId="63D6151F" w14:textId="77777777" w:rsidR="00310007" w:rsidRPr="00310007" w:rsidRDefault="00310007" w:rsidP="00310007">
      <w:pPr>
        <w:shd w:val="clear" w:color="auto" w:fill="FFFFFF"/>
        <w:spacing w:before="120"/>
        <w:ind w:firstLine="709"/>
        <w:rPr>
          <w:rFonts w:eastAsia="Times New Roman"/>
          <w:spacing w:val="-4"/>
          <w:szCs w:val="28"/>
        </w:rPr>
      </w:pPr>
      <w:r w:rsidRPr="00310007">
        <w:rPr>
          <w:rFonts w:eastAsia="Times New Roman"/>
          <w:spacing w:val="-4"/>
          <w:szCs w:val="28"/>
          <w:lang w:val="vi-VN"/>
        </w:rPr>
        <w:lastRenderedPageBreak/>
        <w:t>a) Phương pháp thống kê, tổng hợp: Trên cơ sở kinh nghiệm thực tế xây dựng các quy hoạch thời kỳ trước để xây dựng định mức kinh tế - kỹ thuật cho lập, thẩm định, công bố và điều chỉnh quy hoạch phát triển ứng dụng năng lượng nguyên tử;</w:t>
      </w:r>
    </w:p>
    <w:p w14:paraId="26F52C64"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b) Phương pháp tiêu chuẩn: Trên cơ sở các tiêu chuẩn kỹ thuật, quy định pháp luật về thời gian lao động, chế độ nghỉ ngơi để xây dựng định mức lao động cho từng công việc; căn cứ các tiêu chuẩn kỹ thuật, quy định pháp luật để xác định mức tiêu hao đối với từng công việc, trên cơ sở đó tính toán xây dựng định mức kinh tế - kỹ thuật và vật tư.</w:t>
      </w:r>
    </w:p>
    <w:p w14:paraId="26B4C1E9" w14:textId="77777777" w:rsidR="00310007" w:rsidRPr="00310007" w:rsidRDefault="00310007" w:rsidP="00310007">
      <w:pPr>
        <w:shd w:val="clear" w:color="auto" w:fill="FFFFFF"/>
        <w:ind w:firstLine="709"/>
        <w:rPr>
          <w:rFonts w:eastAsia="Times New Roman"/>
          <w:szCs w:val="28"/>
        </w:rPr>
      </w:pPr>
      <w:bookmarkStart w:id="7" w:name="dieu_5"/>
      <w:r w:rsidRPr="00310007">
        <w:rPr>
          <w:rFonts w:eastAsia="Times New Roman"/>
          <w:b/>
          <w:bCs/>
          <w:szCs w:val="28"/>
          <w:lang w:val="vi-VN"/>
        </w:rPr>
        <w:t>Điều 5. Cơ sở xây dựng định mức kinh tế - kỹ thuật</w:t>
      </w:r>
      <w:bookmarkEnd w:id="7"/>
    </w:p>
    <w:p w14:paraId="7F7FC95A" w14:textId="5B0BFE55"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Định mức kinh tế - kỹ thuật quy định tại Thông tư này xây dựng trên cơ sở quy trình lập, thẩm định, công bố, điều chỉnh quy hoạch phát triển, ứng dụng năng lượng nguyên tử được quy định tại Nghị định số 41/2019/NĐ-CP ngày 15 tháng 5 năm 2019 của Chính phủ quy định chi tiết việc lập, thẩm định, phê duyệt, công bố, thực hiện, đánh giá và điều chỉnh quy hoạch phát triển, ứng dụng năng lượng nguyên tử và Quyết định số 108/QĐ-TTg ngày 22 tháng 01 năm 2021 của Thủ tướng Chính phủ phê duyệt nhiệm vụ lập quy hoạch phát triển, ứng dụng năng lượng nguyên tử thời kỳ 2021-2030, tầm nhìn đến năm 2050.</w:t>
      </w:r>
    </w:p>
    <w:p w14:paraId="645C8D5C" w14:textId="77777777" w:rsidR="00310007" w:rsidRPr="00310007" w:rsidRDefault="00310007" w:rsidP="00310007">
      <w:pPr>
        <w:shd w:val="clear" w:color="auto" w:fill="FFFFFF"/>
        <w:ind w:firstLine="709"/>
        <w:rPr>
          <w:rFonts w:eastAsia="Times New Roman"/>
          <w:szCs w:val="28"/>
        </w:rPr>
      </w:pPr>
      <w:bookmarkStart w:id="8" w:name="dieu_6"/>
      <w:r w:rsidRPr="00310007">
        <w:rPr>
          <w:rFonts w:eastAsia="Times New Roman"/>
          <w:b/>
          <w:bCs/>
          <w:szCs w:val="28"/>
          <w:lang w:val="vi-VN"/>
        </w:rPr>
        <w:t>Điều 6. Nội dung định mức kinh tế - kỹ thuật</w:t>
      </w:r>
      <w:bookmarkEnd w:id="8"/>
    </w:p>
    <w:p w14:paraId="4DA7F270"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Định mức kinh tế - kỹ thuật lập, thẩm định, công bố, điều chỉnh quy hoạch bao gồm các định mức thành phần sau:</w:t>
      </w:r>
    </w:p>
    <w:p w14:paraId="3F0CA1BB"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a) Định mức lao động</w:t>
      </w:r>
    </w:p>
    <w:p w14:paraId="62A5641D"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Định mức lao động là thời gian lao động trực tiếp và gián tiếp (quản lý, phục vụ) cần thiết để thực hiện một bước công việc hoặc một công việc cụ thể. Mức hao phí thời gian lao động trong định mức được tính bằng công. 01 (một) công tương đương 08 giờ. Định mức công lao động gián tiếp không quá 10% định mức công lao động trực tiếp.</w:t>
      </w:r>
    </w:p>
    <w:p w14:paraId="7DFE9CED" w14:textId="7D6DAC74"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Mức chuyên gia tư vấn được chia theo 4 mức quy định tại Thông tư số 02/2015/TT-BLĐTBXH ngày 12 tháng 01 năm 2015 của Bộ Lao động - Thương binh và Xã hội và được ký hiệu: chuyên gia tư vấn mức 1 (CG1), chuyên gia tư vấn mức 2 (CG2), chuyên gia tư vấn mức 3 (CG3), chuyên gia tư vấn mức 4 (CG4).</w:t>
      </w:r>
    </w:p>
    <w:p w14:paraId="2BD71B9F"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b) Định mức thiết bị</w:t>
      </w:r>
    </w:p>
    <w:p w14:paraId="764B6F69"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Định mức thiết bị là thời gian sử dụng thiết bị cần thiết đối với từng loại thiết bị để hoàn thành một bước công việc hoặc một công việc cụ thể đạt các tiêu chí, tiêu chuẩn do </w:t>
      </w:r>
      <w:r w:rsidRPr="00310007">
        <w:rPr>
          <w:rFonts w:eastAsia="Times New Roman"/>
          <w:szCs w:val="28"/>
        </w:rPr>
        <w:t>c</w:t>
      </w:r>
      <w:r w:rsidRPr="00310007">
        <w:rPr>
          <w:rFonts w:eastAsia="Times New Roman"/>
          <w:szCs w:val="28"/>
          <w:lang w:val="vi-VN"/>
        </w:rPr>
        <w:t>ơ quan có thẩm quyền ban hành.</w:t>
      </w:r>
    </w:p>
    <w:p w14:paraId="46FE0861"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c) Định mức vật tư</w:t>
      </w:r>
    </w:p>
    <w:p w14:paraId="1A94472F"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Định mức vật tư là mức tiêu hao từng loại nguyên liệu, vật liệu cần thiết, xác định theo chủng loại, số lượng để hoàn thành một bước công việc hoặc một công việc cụ thể đạt các tiêu chí, tiêu chuẩn do cơ quan có thẩm quyền ban hành.</w:t>
      </w:r>
    </w:p>
    <w:p w14:paraId="457B96AA"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rPr>
        <w:t>2. </w:t>
      </w:r>
      <w:r w:rsidRPr="00310007">
        <w:rPr>
          <w:rFonts w:eastAsia="Times New Roman"/>
          <w:szCs w:val="28"/>
          <w:lang w:val="vi-VN"/>
        </w:rPr>
        <w:t>Định mức lập, thẩm định nhiệm vụ lập quy hoạch quy định tại Phụ lục I ban hành kèm theo Thông tư này.</w:t>
      </w:r>
    </w:p>
    <w:p w14:paraId="314FC144"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lastRenderedPageBreak/>
        <w:t>3. Định mức tổ chức lập, thẩm định quy hoạch quy định tại Phụ lục II ban hành kèm theo Thông tư này.</w:t>
      </w:r>
    </w:p>
    <w:p w14:paraId="5BB60872" w14:textId="77777777" w:rsidR="00310007" w:rsidRPr="00310007" w:rsidRDefault="00310007" w:rsidP="00310007">
      <w:pPr>
        <w:shd w:val="clear" w:color="auto" w:fill="FFFFFF"/>
        <w:ind w:firstLine="709"/>
        <w:rPr>
          <w:rFonts w:eastAsia="Times New Roman"/>
          <w:szCs w:val="28"/>
        </w:rPr>
      </w:pPr>
      <w:r w:rsidRPr="00310007">
        <w:rPr>
          <w:rFonts w:eastAsia="Times New Roman"/>
          <w:szCs w:val="28"/>
          <w:lang w:val="vi-VN"/>
        </w:rPr>
        <w:t>4. Hoạt động điều chỉnh quy hoạch thực hiện theo quy định tại </w:t>
      </w:r>
      <w:bookmarkStart w:id="9" w:name="dc_2"/>
      <w:r w:rsidRPr="00310007">
        <w:rPr>
          <w:rFonts w:eastAsia="Times New Roman"/>
          <w:szCs w:val="28"/>
          <w:lang w:val="vi-VN"/>
        </w:rPr>
        <w:t>Điều 34 của Nghị định số 41/2019/NĐ-CP</w:t>
      </w:r>
      <w:bookmarkEnd w:id="9"/>
      <w:r w:rsidRPr="00310007">
        <w:rPr>
          <w:rFonts w:eastAsia="Times New Roman"/>
          <w:szCs w:val="28"/>
          <w:lang w:val="vi-VN"/>
        </w:rPr>
        <w:t>. Định mức cho từng hoạt động điều chỉnh đối với quy hoạch đã được phê duyệt áp dụng như định mức cho từng hoạt động lập mới quy hoạch.</w:t>
      </w:r>
    </w:p>
    <w:p w14:paraId="716EE6D6"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5. Định mức công bố quy hoạch và các hoạt động khác phục vụ lập quy hoạch, các hợp phần quy hoạch bao gồm: lựa chọn tổ chức tư vấn; tổ chức hội nghị, hội thảo, tọa đàm, tham vấn, lấy ý kiến; tổ chức h</w:t>
      </w:r>
      <w:r w:rsidRPr="00310007">
        <w:rPr>
          <w:rFonts w:eastAsia="Times New Roman"/>
          <w:szCs w:val="28"/>
        </w:rPr>
        <w:t>ọ</w:t>
      </w:r>
      <w:r w:rsidRPr="00310007">
        <w:rPr>
          <w:rFonts w:eastAsia="Times New Roman"/>
          <w:szCs w:val="28"/>
          <w:lang w:val="vi-VN"/>
        </w:rPr>
        <w:t>p hội đồng thẩm định; công tác phí, thông tin liên lạc,... thực hiện theo quy định pháp luật tương ứng.</w:t>
      </w:r>
    </w:p>
    <w:p w14:paraId="469A8F63" w14:textId="77777777" w:rsidR="00310007" w:rsidRPr="00310007" w:rsidRDefault="00310007" w:rsidP="00310007">
      <w:pPr>
        <w:shd w:val="clear" w:color="auto" w:fill="FFFFFF"/>
        <w:ind w:firstLine="709"/>
        <w:rPr>
          <w:rFonts w:eastAsia="Times New Roman"/>
          <w:szCs w:val="28"/>
        </w:rPr>
      </w:pPr>
      <w:bookmarkStart w:id="10" w:name="dieu_7"/>
      <w:r w:rsidRPr="00310007">
        <w:rPr>
          <w:rFonts w:eastAsia="Times New Roman"/>
          <w:b/>
          <w:bCs/>
          <w:szCs w:val="28"/>
          <w:lang w:val="vi-VN"/>
        </w:rPr>
        <w:t>Điều 7. Trách nhiệm thi hành</w:t>
      </w:r>
      <w:bookmarkEnd w:id="10"/>
    </w:p>
    <w:p w14:paraId="327B9551"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1. Thông tư này có hiệu lực kể từ ngày 28 tháng</w:t>
      </w:r>
      <w:r w:rsidRPr="00310007">
        <w:rPr>
          <w:rFonts w:eastAsia="Times New Roman"/>
          <w:szCs w:val="28"/>
        </w:rPr>
        <w:t> 7 </w:t>
      </w:r>
      <w:r w:rsidRPr="00310007">
        <w:rPr>
          <w:rFonts w:eastAsia="Times New Roman"/>
          <w:szCs w:val="28"/>
          <w:lang w:val="vi-VN"/>
        </w:rPr>
        <w:t>năm 2022.</w:t>
      </w:r>
    </w:p>
    <w:p w14:paraId="4A1C21C9"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2. Các Bộ, cơ quan ngang Bộ, cơ quan thuộc Chính phủ, Ủy ban nhân dân các tỉnh, thành phố trực thuộc Trung ương và tổ chức, cá nhân liên quan chịu trách nhiệm thi hành Thông tư này.</w:t>
      </w:r>
    </w:p>
    <w:p w14:paraId="3449024C" w14:textId="77777777" w:rsidR="00310007" w:rsidRPr="00310007" w:rsidRDefault="00310007" w:rsidP="00310007">
      <w:pPr>
        <w:shd w:val="clear" w:color="auto" w:fill="FFFFFF"/>
        <w:spacing w:before="120"/>
        <w:ind w:firstLine="709"/>
        <w:rPr>
          <w:rFonts w:eastAsia="Times New Roman"/>
          <w:szCs w:val="28"/>
        </w:rPr>
      </w:pPr>
      <w:r w:rsidRPr="00310007">
        <w:rPr>
          <w:rFonts w:eastAsia="Times New Roman"/>
          <w:szCs w:val="28"/>
          <w:lang w:val="vi-VN"/>
        </w:rPr>
        <w:t>3. Trong quá trình thực hiện, nếu phát sinh vướng mắc, tổ chức, cá nhân phản ánh bằng văn bản về Bộ Khoa học và Công nghệ để được hướng dẫn hoặc nghiên cứu sửa đổi, bổ sung cho phù hợp./.</w:t>
      </w:r>
    </w:p>
    <w:p w14:paraId="72A59D61" w14:textId="77777777" w:rsidR="00FC5B6D" w:rsidRPr="00BB1706" w:rsidRDefault="00FC5B6D" w:rsidP="00D73981">
      <w:pPr>
        <w:pStyle w:val="NormalWeb"/>
        <w:shd w:val="clear" w:color="auto" w:fill="FFFFFF"/>
        <w:spacing w:before="120" w:beforeAutospacing="0" w:after="240" w:afterAutospacing="0" w:line="340" w:lineRule="exact"/>
        <w:rPr>
          <w:color w:val="auto"/>
          <w:szCs w:val="28"/>
        </w:rPr>
      </w:pPr>
    </w:p>
    <w:tbl>
      <w:tblPr>
        <w:tblW w:w="9214" w:type="dxa"/>
        <w:tblLook w:val="04A0" w:firstRow="1" w:lastRow="0" w:firstColumn="1" w:lastColumn="0" w:noHBand="0" w:noVBand="1"/>
      </w:tblPr>
      <w:tblGrid>
        <w:gridCol w:w="4962"/>
        <w:gridCol w:w="4252"/>
      </w:tblGrid>
      <w:tr w:rsidR="00C95FB6" w:rsidRPr="00BB1706" w14:paraId="4DA8EBA7" w14:textId="77777777" w:rsidTr="009D4A0B">
        <w:tc>
          <w:tcPr>
            <w:tcW w:w="4962" w:type="dxa"/>
          </w:tcPr>
          <w:p w14:paraId="56937B83" w14:textId="77777777" w:rsidR="008F2808" w:rsidRPr="00BB1706" w:rsidRDefault="008F2808" w:rsidP="00B515EF">
            <w:pPr>
              <w:pStyle w:val="NormalWeb"/>
              <w:spacing w:before="0" w:beforeAutospacing="0" w:after="20" w:afterAutospacing="0"/>
              <w:jc w:val="left"/>
              <w:rPr>
                <w:b/>
                <w:i/>
                <w:color w:val="auto"/>
              </w:rPr>
            </w:pPr>
            <w:r w:rsidRPr="00BB1706">
              <w:rPr>
                <w:b/>
                <w:bCs/>
                <w:i/>
                <w:iCs/>
                <w:color w:val="auto"/>
                <w:sz w:val="24"/>
                <w:lang w:val="pt-BR"/>
              </w:rPr>
              <w:t>Nơi nhận:</w:t>
            </w:r>
            <w:r w:rsidRPr="00BB1706">
              <w:rPr>
                <w:b/>
                <w:bCs/>
                <w:i/>
                <w:iCs/>
                <w:color w:val="auto"/>
                <w:szCs w:val="22"/>
                <w:lang w:val="pt-BR"/>
              </w:rPr>
              <w:br/>
            </w:r>
            <w:r w:rsidRPr="00BB1706">
              <w:rPr>
                <w:bCs/>
                <w:i/>
                <w:iCs/>
                <w:color w:val="auto"/>
                <w:sz w:val="22"/>
                <w:szCs w:val="22"/>
                <w:lang w:val="pt-BR"/>
              </w:rPr>
              <w:t xml:space="preserve">- </w:t>
            </w:r>
            <w:r w:rsidRPr="00BB1706">
              <w:rPr>
                <w:bCs/>
                <w:iCs/>
                <w:color w:val="auto"/>
                <w:sz w:val="22"/>
                <w:szCs w:val="22"/>
                <w:lang w:val="pt-BR"/>
              </w:rPr>
              <w:t>Thủ tướng Chính phủ;</w:t>
            </w:r>
            <w:r w:rsidRPr="00BB1706">
              <w:rPr>
                <w:bCs/>
                <w:iCs/>
                <w:color w:val="auto"/>
                <w:sz w:val="22"/>
                <w:szCs w:val="22"/>
                <w:lang w:val="pt-BR"/>
              </w:rPr>
              <w:br/>
              <w:t>- Các Phó Thủ tướng Chính phủ;</w:t>
            </w:r>
            <w:r w:rsidRPr="00BB1706">
              <w:rPr>
                <w:bCs/>
                <w:iCs/>
                <w:color w:val="auto"/>
                <w:sz w:val="22"/>
                <w:szCs w:val="22"/>
                <w:lang w:val="pt-BR"/>
              </w:rPr>
              <w:br/>
              <w:t>- Các Bộ, cơ quan ngang Bộ, ngành thuộc Chính phủ;</w:t>
            </w:r>
            <w:r w:rsidRPr="00BB1706">
              <w:rPr>
                <w:bCs/>
                <w:iCs/>
                <w:color w:val="auto"/>
                <w:sz w:val="22"/>
                <w:szCs w:val="22"/>
                <w:lang w:val="pt-BR"/>
              </w:rPr>
              <w:br/>
              <w:t>- Văn phòng Quốc hội;</w:t>
            </w:r>
            <w:r w:rsidRPr="00BB1706">
              <w:rPr>
                <w:bCs/>
                <w:iCs/>
                <w:color w:val="auto"/>
                <w:sz w:val="22"/>
                <w:szCs w:val="22"/>
                <w:lang w:val="pt-BR"/>
              </w:rPr>
              <w:br/>
              <w:t>- Văn phòng Chính phủ;</w:t>
            </w:r>
            <w:r w:rsidRPr="00BB1706">
              <w:rPr>
                <w:bCs/>
                <w:iCs/>
                <w:color w:val="auto"/>
                <w:sz w:val="22"/>
                <w:szCs w:val="22"/>
                <w:lang w:val="pt-BR"/>
              </w:rPr>
              <w:br/>
              <w:t>- UBND các tỉnh, thành phố trực thuộc TW;</w:t>
            </w:r>
            <w:r w:rsidRPr="00BB1706">
              <w:rPr>
                <w:bCs/>
                <w:iCs/>
                <w:color w:val="auto"/>
                <w:sz w:val="22"/>
                <w:szCs w:val="22"/>
                <w:lang w:val="pt-BR"/>
              </w:rPr>
              <w:br/>
              <w:t>- Cục Kiểm tra VBQPPL (Bộ Tư pháp);</w:t>
            </w:r>
            <w:r w:rsidRPr="00BB1706">
              <w:rPr>
                <w:bCs/>
                <w:iCs/>
                <w:color w:val="auto"/>
                <w:sz w:val="22"/>
                <w:szCs w:val="22"/>
                <w:lang w:val="pt-BR"/>
              </w:rPr>
              <w:br/>
              <w:t>- Công báo, Website Chính phủ;</w:t>
            </w:r>
            <w:r w:rsidRPr="00BB1706">
              <w:rPr>
                <w:bCs/>
                <w:iCs/>
                <w:color w:val="auto"/>
                <w:sz w:val="22"/>
                <w:szCs w:val="22"/>
                <w:lang w:val="pt-BR"/>
              </w:rPr>
              <w:br/>
              <w:t>- Lưu: VT, NLNT.</w:t>
            </w:r>
          </w:p>
        </w:tc>
        <w:tc>
          <w:tcPr>
            <w:tcW w:w="4252" w:type="dxa"/>
          </w:tcPr>
          <w:p w14:paraId="4D063DED" w14:textId="77777777" w:rsidR="00310007" w:rsidRPr="00310007" w:rsidRDefault="008F2808" w:rsidP="00310007">
            <w:pPr>
              <w:keepNext/>
              <w:widowControl w:val="0"/>
              <w:jc w:val="center"/>
              <w:rPr>
                <w:b/>
                <w:szCs w:val="28"/>
                <w:lang w:val="da-DK"/>
              </w:rPr>
            </w:pPr>
            <w:r w:rsidRPr="00310007">
              <w:rPr>
                <w:b/>
                <w:szCs w:val="28"/>
                <w:lang w:val="da-DK"/>
              </w:rPr>
              <w:t xml:space="preserve">   </w:t>
            </w:r>
            <w:r w:rsidR="00310007" w:rsidRPr="00310007">
              <w:rPr>
                <w:b/>
                <w:szCs w:val="28"/>
                <w:lang w:val="da-DK"/>
              </w:rPr>
              <w:t>KT. BỘ TRƯỞNG</w:t>
            </w:r>
          </w:p>
          <w:p w14:paraId="22778C0F" w14:textId="77777777" w:rsidR="00310007" w:rsidRPr="00310007" w:rsidRDefault="00310007" w:rsidP="00310007">
            <w:pPr>
              <w:keepNext/>
              <w:widowControl w:val="0"/>
              <w:jc w:val="center"/>
              <w:rPr>
                <w:b/>
                <w:szCs w:val="28"/>
                <w:lang w:val="da-DK"/>
              </w:rPr>
            </w:pPr>
            <w:r w:rsidRPr="00310007">
              <w:rPr>
                <w:b/>
                <w:szCs w:val="28"/>
                <w:lang w:val="da-DK"/>
              </w:rPr>
              <w:t>THỨ TRƯỞNG</w:t>
            </w:r>
          </w:p>
          <w:p w14:paraId="72551722" w14:textId="77777777" w:rsidR="00310007" w:rsidRPr="00310007" w:rsidRDefault="00310007" w:rsidP="00310007">
            <w:pPr>
              <w:keepNext/>
              <w:widowControl w:val="0"/>
              <w:jc w:val="center"/>
              <w:rPr>
                <w:b/>
                <w:szCs w:val="28"/>
                <w:lang w:val="da-DK"/>
              </w:rPr>
            </w:pPr>
          </w:p>
          <w:p w14:paraId="5BD8F0C1" w14:textId="77777777" w:rsidR="00310007" w:rsidRPr="00310007" w:rsidRDefault="00310007" w:rsidP="00310007">
            <w:pPr>
              <w:keepNext/>
              <w:widowControl w:val="0"/>
              <w:jc w:val="center"/>
              <w:rPr>
                <w:b/>
                <w:szCs w:val="28"/>
                <w:lang w:val="da-DK"/>
              </w:rPr>
            </w:pPr>
          </w:p>
          <w:p w14:paraId="04AFF157" w14:textId="7BEEB71A" w:rsidR="00310007" w:rsidRDefault="00310007" w:rsidP="00310007">
            <w:pPr>
              <w:keepNext/>
              <w:widowControl w:val="0"/>
              <w:jc w:val="center"/>
              <w:rPr>
                <w:b/>
                <w:szCs w:val="28"/>
                <w:lang w:val="da-DK"/>
              </w:rPr>
            </w:pPr>
          </w:p>
          <w:p w14:paraId="0FF35796" w14:textId="0573C1C7" w:rsidR="00310007" w:rsidRDefault="00310007" w:rsidP="00310007">
            <w:pPr>
              <w:keepNext/>
              <w:widowControl w:val="0"/>
              <w:jc w:val="center"/>
              <w:rPr>
                <w:b/>
                <w:szCs w:val="28"/>
                <w:lang w:val="da-DK"/>
              </w:rPr>
            </w:pPr>
          </w:p>
          <w:p w14:paraId="44DDB02E" w14:textId="77777777" w:rsidR="00310007" w:rsidRPr="00310007" w:rsidRDefault="00310007" w:rsidP="00310007">
            <w:pPr>
              <w:keepNext/>
              <w:widowControl w:val="0"/>
              <w:jc w:val="center"/>
              <w:rPr>
                <w:b/>
                <w:szCs w:val="28"/>
                <w:lang w:val="da-DK"/>
              </w:rPr>
            </w:pPr>
          </w:p>
          <w:p w14:paraId="72F6325E" w14:textId="5F8D21F2" w:rsidR="008F2808" w:rsidRPr="00BB1706" w:rsidRDefault="00310007" w:rsidP="00310007">
            <w:pPr>
              <w:keepNext/>
              <w:widowControl w:val="0"/>
              <w:jc w:val="center"/>
              <w:rPr>
                <w:b/>
                <w:lang w:val="da-DK"/>
              </w:rPr>
            </w:pPr>
            <w:r w:rsidRPr="00310007">
              <w:rPr>
                <w:b/>
                <w:szCs w:val="28"/>
                <w:lang w:val="da-DK"/>
              </w:rPr>
              <w:t>Lê Xuân Định</w:t>
            </w:r>
            <w:r w:rsidR="008F2808" w:rsidRPr="00BB1706">
              <w:rPr>
                <w:b/>
                <w:sz w:val="26"/>
                <w:lang w:val="da-DK"/>
              </w:rPr>
              <w:br/>
            </w:r>
            <w:r w:rsidR="008F2808" w:rsidRPr="00BB1706">
              <w:rPr>
                <w:b/>
                <w:lang w:val="da-DK"/>
              </w:rPr>
              <w:br/>
            </w:r>
            <w:r w:rsidR="008F2808" w:rsidRPr="00BB1706">
              <w:rPr>
                <w:b/>
                <w:lang w:val="da-DK"/>
              </w:rPr>
              <w:br/>
            </w:r>
            <w:r w:rsidR="008F2808" w:rsidRPr="00BB1706">
              <w:rPr>
                <w:b/>
                <w:lang w:val="da-DK"/>
              </w:rPr>
              <w:br/>
            </w:r>
          </w:p>
          <w:p w14:paraId="69F741EC" w14:textId="77777777" w:rsidR="008F2808" w:rsidRPr="00BB1706" w:rsidRDefault="008F2808" w:rsidP="00B515EF">
            <w:pPr>
              <w:pStyle w:val="NormalWeb"/>
              <w:spacing w:before="0" w:beforeAutospacing="0" w:after="120" w:afterAutospacing="0"/>
              <w:rPr>
                <w:color w:val="auto"/>
              </w:rPr>
            </w:pPr>
            <w:r w:rsidRPr="00BB1706">
              <w:rPr>
                <w:b/>
                <w:color w:val="auto"/>
                <w:lang w:val="da-DK"/>
              </w:rPr>
              <w:br/>
            </w:r>
            <w:r w:rsidRPr="00BB1706">
              <w:rPr>
                <w:b/>
                <w:color w:val="auto"/>
                <w:lang w:val="da-DK"/>
              </w:rPr>
              <w:br/>
            </w:r>
          </w:p>
        </w:tc>
      </w:tr>
      <w:bookmarkEnd w:id="0"/>
    </w:tbl>
    <w:p w14:paraId="6465353D" w14:textId="77777777" w:rsidR="00D95985" w:rsidRPr="00BB1706" w:rsidRDefault="00D95985"/>
    <w:sectPr w:rsidR="00D95985" w:rsidRPr="00BB1706" w:rsidSect="00436FF1">
      <w:headerReference w:type="even" r:id="rId8"/>
      <w:headerReference w:type="default" r:id="rId9"/>
      <w:footerReference w:type="even" r:id="rId10"/>
      <w:footerReference w:type="default" r:id="rId11"/>
      <w:footerReference w:type="first" r:id="rId12"/>
      <w:pgSz w:w="11907" w:h="16840" w:code="9"/>
      <w:pgMar w:top="1134" w:right="992"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FE3C" w16cex:dateUtc="2022-04-15T07:22:00Z"/>
  <w16cex:commentExtensible w16cex:durableId="26040070" w16cex:dateUtc="2022-04-15T07: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B3B2" w14:textId="77777777" w:rsidR="00B850C8" w:rsidRDefault="00B850C8">
      <w:r>
        <w:separator/>
      </w:r>
    </w:p>
  </w:endnote>
  <w:endnote w:type="continuationSeparator" w:id="0">
    <w:p w14:paraId="701C65DA" w14:textId="77777777" w:rsidR="00B850C8" w:rsidRDefault="00B8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C896" w14:textId="77777777" w:rsidR="00C62B3B" w:rsidRDefault="002930DB" w:rsidP="00CE24CF">
    <w:pPr>
      <w:pStyle w:val="Footer"/>
      <w:framePr w:wrap="around" w:vAnchor="text" w:hAnchor="margin" w:xAlign="right" w:y="1"/>
      <w:rPr>
        <w:rStyle w:val="PageNumber"/>
      </w:rPr>
    </w:pPr>
    <w:r>
      <w:rPr>
        <w:rStyle w:val="PageNumber"/>
      </w:rPr>
      <w:fldChar w:fldCharType="begin"/>
    </w:r>
    <w:r w:rsidR="00C62B3B">
      <w:rPr>
        <w:rStyle w:val="PageNumber"/>
      </w:rPr>
      <w:instrText xml:space="preserve">PAGE  </w:instrText>
    </w:r>
    <w:r>
      <w:rPr>
        <w:rStyle w:val="PageNumber"/>
      </w:rPr>
      <w:fldChar w:fldCharType="end"/>
    </w:r>
  </w:p>
  <w:p w14:paraId="60EFD4FE" w14:textId="77777777" w:rsidR="00C62B3B" w:rsidRDefault="00C62B3B" w:rsidP="00CE2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4403" w14:textId="77777777" w:rsidR="00C62B3B" w:rsidRDefault="00C62B3B" w:rsidP="00CE24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D65E" w14:textId="77777777" w:rsidR="00C62B3B" w:rsidRDefault="00C62B3B">
    <w:pPr>
      <w:pStyle w:val="Footer"/>
      <w:jc w:val="right"/>
    </w:pPr>
  </w:p>
  <w:p w14:paraId="75E5C5D0" w14:textId="77777777" w:rsidR="00C62B3B" w:rsidRDefault="00C6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9A5F" w14:textId="77777777" w:rsidR="00B850C8" w:rsidRDefault="00B850C8">
      <w:r>
        <w:separator/>
      </w:r>
    </w:p>
  </w:footnote>
  <w:footnote w:type="continuationSeparator" w:id="0">
    <w:p w14:paraId="5F0A0BD5" w14:textId="77777777" w:rsidR="00B850C8" w:rsidRDefault="00B8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E4A6" w14:textId="77777777" w:rsidR="00C62B3B" w:rsidRDefault="002930DB" w:rsidP="00CE24CF">
    <w:pPr>
      <w:pStyle w:val="Header"/>
      <w:framePr w:wrap="around" w:vAnchor="text" w:hAnchor="margin" w:xAlign="center" w:y="1"/>
      <w:rPr>
        <w:rStyle w:val="PageNumber"/>
      </w:rPr>
    </w:pPr>
    <w:r>
      <w:rPr>
        <w:rStyle w:val="PageNumber"/>
      </w:rPr>
      <w:fldChar w:fldCharType="begin"/>
    </w:r>
    <w:r w:rsidR="00C62B3B">
      <w:rPr>
        <w:rStyle w:val="PageNumber"/>
      </w:rPr>
      <w:instrText xml:space="preserve">PAGE  </w:instrText>
    </w:r>
    <w:r>
      <w:rPr>
        <w:rStyle w:val="PageNumber"/>
      </w:rPr>
      <w:fldChar w:fldCharType="end"/>
    </w:r>
  </w:p>
  <w:p w14:paraId="03C87C64" w14:textId="77777777" w:rsidR="00C62B3B" w:rsidRDefault="00C6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623621"/>
      <w:docPartObj>
        <w:docPartGallery w:val="Page Numbers (Top of Page)"/>
        <w:docPartUnique/>
      </w:docPartObj>
    </w:sdtPr>
    <w:sdtEndPr>
      <w:rPr>
        <w:noProof/>
        <w:sz w:val="24"/>
      </w:rPr>
    </w:sdtEndPr>
    <w:sdtContent>
      <w:p w14:paraId="0EA870D7" w14:textId="77777777" w:rsidR="00C62B3B" w:rsidRPr="00B515EF" w:rsidRDefault="002930DB">
        <w:pPr>
          <w:pStyle w:val="Header"/>
          <w:jc w:val="center"/>
          <w:rPr>
            <w:sz w:val="24"/>
          </w:rPr>
        </w:pPr>
        <w:r w:rsidRPr="00B515EF">
          <w:rPr>
            <w:sz w:val="24"/>
          </w:rPr>
          <w:fldChar w:fldCharType="begin"/>
        </w:r>
        <w:r w:rsidR="00C62B3B" w:rsidRPr="00B515EF">
          <w:rPr>
            <w:sz w:val="24"/>
          </w:rPr>
          <w:instrText xml:space="preserve"> PAGE   \* MERGEFORMAT </w:instrText>
        </w:r>
        <w:r w:rsidRPr="00B515EF">
          <w:rPr>
            <w:sz w:val="24"/>
          </w:rPr>
          <w:fldChar w:fldCharType="separate"/>
        </w:r>
        <w:r w:rsidR="008C00E3">
          <w:rPr>
            <w:noProof/>
            <w:sz w:val="24"/>
          </w:rPr>
          <w:t>2</w:t>
        </w:r>
        <w:r w:rsidRPr="00B515EF">
          <w:rPr>
            <w:noProof/>
            <w:sz w:val="24"/>
          </w:rPr>
          <w:fldChar w:fldCharType="end"/>
        </w:r>
      </w:p>
    </w:sdtContent>
  </w:sdt>
  <w:p w14:paraId="6EFDAA44" w14:textId="77777777" w:rsidR="00C62B3B" w:rsidRDefault="00C6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C94"/>
    <w:multiLevelType w:val="hybridMultilevel"/>
    <w:tmpl w:val="382080F2"/>
    <w:lvl w:ilvl="0" w:tplc="61F0AF9A">
      <w:start w:val="1"/>
      <w:numFmt w:val="lowerLetter"/>
      <w:lvlText w:val="%1)"/>
      <w:lvlJc w:val="left"/>
      <w:pPr>
        <w:ind w:left="928" w:hanging="360"/>
      </w:pPr>
      <w:rPr>
        <w:rFonts w:ascii="Times New Roman" w:eastAsia="MS Mincho"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B6787D"/>
    <w:multiLevelType w:val="multilevel"/>
    <w:tmpl w:val="72C8E8D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09B2DD3"/>
    <w:multiLevelType w:val="hybridMultilevel"/>
    <w:tmpl w:val="766EFC22"/>
    <w:lvl w:ilvl="0" w:tplc="FE0235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CDE2E4E"/>
    <w:multiLevelType w:val="hybridMultilevel"/>
    <w:tmpl w:val="CA106068"/>
    <w:lvl w:ilvl="0" w:tplc="4D4486CC">
      <w:start w:val="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EBB2072"/>
    <w:multiLevelType w:val="hybridMultilevel"/>
    <w:tmpl w:val="2AF8E080"/>
    <w:lvl w:ilvl="0" w:tplc="15885A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AE83709"/>
    <w:multiLevelType w:val="hybridMultilevel"/>
    <w:tmpl w:val="B08C6AE6"/>
    <w:lvl w:ilvl="0" w:tplc="6E30C7E6">
      <w:start w:val="1"/>
      <w:numFmt w:val="decimal"/>
      <w:lvlText w:val="%1."/>
      <w:lvlJc w:val="left"/>
      <w:pPr>
        <w:ind w:left="720" w:hanging="360"/>
      </w:pPr>
      <w:rPr>
        <w:rFonts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E5DDC"/>
    <w:multiLevelType w:val="hybridMultilevel"/>
    <w:tmpl w:val="466AA474"/>
    <w:lvl w:ilvl="0" w:tplc="B9847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B7BD3"/>
    <w:multiLevelType w:val="multilevel"/>
    <w:tmpl w:val="B58E8F08"/>
    <w:lvl w:ilvl="0">
      <w:start w:val="1"/>
      <w:numFmt w:val="decimal"/>
      <w:pStyle w:val="Heading2"/>
      <w:lvlText w:val="%1."/>
      <w:lvlJc w:val="left"/>
      <w:pPr>
        <w:ind w:left="927"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329C45B2"/>
    <w:multiLevelType w:val="hybridMultilevel"/>
    <w:tmpl w:val="E5F21670"/>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4165435"/>
    <w:multiLevelType w:val="hybridMultilevel"/>
    <w:tmpl w:val="3688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D42C5"/>
    <w:multiLevelType w:val="hybridMultilevel"/>
    <w:tmpl w:val="B5144EB4"/>
    <w:lvl w:ilvl="0" w:tplc="9708B030">
      <w:start w:val="2"/>
      <w:numFmt w:val="upperRoman"/>
      <w:lvlText w:val="%1."/>
      <w:lvlJc w:val="left"/>
      <w:pPr>
        <w:ind w:left="1287" w:hanging="720"/>
      </w:pPr>
      <w:rPr>
        <w:rFonts w:cs="Times New Roma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91A3B44"/>
    <w:multiLevelType w:val="hybridMultilevel"/>
    <w:tmpl w:val="0186B336"/>
    <w:lvl w:ilvl="0" w:tplc="46F0CC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D67241D"/>
    <w:multiLevelType w:val="multilevel"/>
    <w:tmpl w:val="2A789AD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63F7A56"/>
    <w:multiLevelType w:val="multilevel"/>
    <w:tmpl w:val="A2AC087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78C69DD"/>
    <w:multiLevelType w:val="hybridMultilevel"/>
    <w:tmpl w:val="C4B00FFE"/>
    <w:lvl w:ilvl="0" w:tplc="D04A58D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E0ADE"/>
    <w:multiLevelType w:val="hybridMultilevel"/>
    <w:tmpl w:val="B22E1B88"/>
    <w:lvl w:ilvl="0" w:tplc="D5DE4FFA">
      <w:start w:val="1"/>
      <w:numFmt w:val="decimal"/>
      <w:pStyle w:val="Heading3"/>
      <w:lvlText w:val="%1."/>
      <w:lvlJc w:val="left"/>
      <w:pPr>
        <w:ind w:left="92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683348AD"/>
    <w:multiLevelType w:val="hybridMultilevel"/>
    <w:tmpl w:val="9BAC8E7E"/>
    <w:lvl w:ilvl="0" w:tplc="00D064E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8C9228A"/>
    <w:multiLevelType w:val="hybridMultilevel"/>
    <w:tmpl w:val="C15EA7CA"/>
    <w:lvl w:ilvl="0" w:tplc="16F86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D74174"/>
    <w:multiLevelType w:val="hybridMultilevel"/>
    <w:tmpl w:val="AF0041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1CE4"/>
    <w:multiLevelType w:val="hybridMultilevel"/>
    <w:tmpl w:val="56B03702"/>
    <w:lvl w:ilvl="0" w:tplc="A7285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871A6"/>
    <w:multiLevelType w:val="hybridMultilevel"/>
    <w:tmpl w:val="AB009700"/>
    <w:lvl w:ilvl="0" w:tplc="87E84A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55DED"/>
    <w:multiLevelType w:val="hybridMultilevel"/>
    <w:tmpl w:val="5D142E20"/>
    <w:lvl w:ilvl="0" w:tplc="D0AE5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2"/>
  </w:num>
  <w:num w:numId="5">
    <w:abstractNumId w:val="5"/>
  </w:num>
  <w:num w:numId="6">
    <w:abstractNumId w:val="9"/>
  </w:num>
  <w:num w:numId="7">
    <w:abstractNumId w:val="12"/>
  </w:num>
  <w:num w:numId="8">
    <w:abstractNumId w:val="1"/>
  </w:num>
  <w:num w:numId="9">
    <w:abstractNumId w:val="13"/>
  </w:num>
  <w:num w:numId="10">
    <w:abstractNumId w:val="14"/>
  </w:num>
  <w:num w:numId="11">
    <w:abstractNumId w:val="20"/>
  </w:num>
  <w:num w:numId="12">
    <w:abstractNumId w:val="18"/>
  </w:num>
  <w:num w:numId="13">
    <w:abstractNumId w:val="7"/>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15"/>
  </w:num>
  <w:num w:numId="18">
    <w:abstractNumId w:val="15"/>
  </w:num>
  <w:num w:numId="19">
    <w:abstractNumId w:val="15"/>
  </w:num>
  <w:num w:numId="20">
    <w:abstractNumId w:val="4"/>
  </w:num>
  <w:num w:numId="21">
    <w:abstractNumId w:val="7"/>
  </w:num>
  <w:num w:numId="22">
    <w:abstractNumId w:val="3"/>
  </w:num>
  <w:num w:numId="23">
    <w:abstractNumId w:val="19"/>
  </w:num>
  <w:num w:numId="24">
    <w:abstractNumId w:val="8"/>
  </w:num>
  <w:num w:numId="25">
    <w:abstractNumId w:val="16"/>
  </w:num>
  <w:num w:numId="26">
    <w:abstractNumId w:val="10"/>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6F"/>
    <w:rsid w:val="000015E0"/>
    <w:rsid w:val="000043FF"/>
    <w:rsid w:val="00005A78"/>
    <w:rsid w:val="0000666E"/>
    <w:rsid w:val="000073E7"/>
    <w:rsid w:val="00007AD1"/>
    <w:rsid w:val="00007CAF"/>
    <w:rsid w:val="00011E07"/>
    <w:rsid w:val="00011E1C"/>
    <w:rsid w:val="00012FE8"/>
    <w:rsid w:val="0001744A"/>
    <w:rsid w:val="00017529"/>
    <w:rsid w:val="000225C4"/>
    <w:rsid w:val="00023818"/>
    <w:rsid w:val="00026DD8"/>
    <w:rsid w:val="00027A18"/>
    <w:rsid w:val="00030412"/>
    <w:rsid w:val="00037F24"/>
    <w:rsid w:val="0004087A"/>
    <w:rsid w:val="0004241A"/>
    <w:rsid w:val="000472F9"/>
    <w:rsid w:val="00047696"/>
    <w:rsid w:val="00051C35"/>
    <w:rsid w:val="00053BA9"/>
    <w:rsid w:val="00063B18"/>
    <w:rsid w:val="000670ED"/>
    <w:rsid w:val="000703A5"/>
    <w:rsid w:val="00071E30"/>
    <w:rsid w:val="000748D7"/>
    <w:rsid w:val="00075564"/>
    <w:rsid w:val="00077514"/>
    <w:rsid w:val="000779C5"/>
    <w:rsid w:val="000831D5"/>
    <w:rsid w:val="00085F75"/>
    <w:rsid w:val="00086198"/>
    <w:rsid w:val="00087C8A"/>
    <w:rsid w:val="000900F2"/>
    <w:rsid w:val="00090215"/>
    <w:rsid w:val="00093407"/>
    <w:rsid w:val="00094040"/>
    <w:rsid w:val="00094FBD"/>
    <w:rsid w:val="00095A81"/>
    <w:rsid w:val="00095B65"/>
    <w:rsid w:val="000970A3"/>
    <w:rsid w:val="000A0023"/>
    <w:rsid w:val="000A2952"/>
    <w:rsid w:val="000A3E79"/>
    <w:rsid w:val="000A5B72"/>
    <w:rsid w:val="000A72FD"/>
    <w:rsid w:val="000B3684"/>
    <w:rsid w:val="000B4545"/>
    <w:rsid w:val="000B5974"/>
    <w:rsid w:val="000B6036"/>
    <w:rsid w:val="000B79A0"/>
    <w:rsid w:val="000C07FA"/>
    <w:rsid w:val="000C1A34"/>
    <w:rsid w:val="000C3A4B"/>
    <w:rsid w:val="000C591F"/>
    <w:rsid w:val="000D2677"/>
    <w:rsid w:val="000D6273"/>
    <w:rsid w:val="000D7968"/>
    <w:rsid w:val="000E63BD"/>
    <w:rsid w:val="000E6BA7"/>
    <w:rsid w:val="000F1970"/>
    <w:rsid w:val="000F1DD4"/>
    <w:rsid w:val="000F4B8B"/>
    <w:rsid w:val="000F521A"/>
    <w:rsid w:val="00100562"/>
    <w:rsid w:val="00101D46"/>
    <w:rsid w:val="001020CD"/>
    <w:rsid w:val="00104064"/>
    <w:rsid w:val="0011202A"/>
    <w:rsid w:val="00113FE0"/>
    <w:rsid w:val="00116861"/>
    <w:rsid w:val="00122740"/>
    <w:rsid w:val="00127A91"/>
    <w:rsid w:val="00132852"/>
    <w:rsid w:val="00133E7D"/>
    <w:rsid w:val="001346CC"/>
    <w:rsid w:val="00142BB0"/>
    <w:rsid w:val="00143E5D"/>
    <w:rsid w:val="001444C2"/>
    <w:rsid w:val="00145C0C"/>
    <w:rsid w:val="001465B3"/>
    <w:rsid w:val="00146C6F"/>
    <w:rsid w:val="001500C1"/>
    <w:rsid w:val="00150716"/>
    <w:rsid w:val="00150A8A"/>
    <w:rsid w:val="001520DB"/>
    <w:rsid w:val="00152646"/>
    <w:rsid w:val="00152CB4"/>
    <w:rsid w:val="00162306"/>
    <w:rsid w:val="00164688"/>
    <w:rsid w:val="0016695C"/>
    <w:rsid w:val="00166A7C"/>
    <w:rsid w:val="0017001C"/>
    <w:rsid w:val="00171822"/>
    <w:rsid w:val="00171FED"/>
    <w:rsid w:val="001721F8"/>
    <w:rsid w:val="001774A6"/>
    <w:rsid w:val="00180082"/>
    <w:rsid w:val="00182024"/>
    <w:rsid w:val="001821BF"/>
    <w:rsid w:val="00187AE1"/>
    <w:rsid w:val="0019077A"/>
    <w:rsid w:val="0019178A"/>
    <w:rsid w:val="00193A50"/>
    <w:rsid w:val="00194D12"/>
    <w:rsid w:val="001956D0"/>
    <w:rsid w:val="001A2A2C"/>
    <w:rsid w:val="001A438B"/>
    <w:rsid w:val="001A4DAD"/>
    <w:rsid w:val="001A57AB"/>
    <w:rsid w:val="001B041D"/>
    <w:rsid w:val="001B3CE8"/>
    <w:rsid w:val="001C372A"/>
    <w:rsid w:val="001C763D"/>
    <w:rsid w:val="001D12CB"/>
    <w:rsid w:val="001D16FD"/>
    <w:rsid w:val="001D4824"/>
    <w:rsid w:val="001D68AA"/>
    <w:rsid w:val="001D6C5A"/>
    <w:rsid w:val="001F0A15"/>
    <w:rsid w:val="001F2859"/>
    <w:rsid w:val="001F4F02"/>
    <w:rsid w:val="001F5E25"/>
    <w:rsid w:val="001F6C9A"/>
    <w:rsid w:val="00200C3A"/>
    <w:rsid w:val="00206588"/>
    <w:rsid w:val="00207309"/>
    <w:rsid w:val="00214078"/>
    <w:rsid w:val="002159F1"/>
    <w:rsid w:val="00216133"/>
    <w:rsid w:val="00217761"/>
    <w:rsid w:val="002228F3"/>
    <w:rsid w:val="00227E5B"/>
    <w:rsid w:val="00230EEB"/>
    <w:rsid w:val="00231561"/>
    <w:rsid w:val="00232801"/>
    <w:rsid w:val="00235978"/>
    <w:rsid w:val="00236B33"/>
    <w:rsid w:val="0024085D"/>
    <w:rsid w:val="002411AE"/>
    <w:rsid w:val="0024609D"/>
    <w:rsid w:val="00246119"/>
    <w:rsid w:val="00246DAC"/>
    <w:rsid w:val="00256640"/>
    <w:rsid w:val="0026003B"/>
    <w:rsid w:val="00262970"/>
    <w:rsid w:val="0026495D"/>
    <w:rsid w:val="00264FC8"/>
    <w:rsid w:val="00267566"/>
    <w:rsid w:val="0027374D"/>
    <w:rsid w:val="00274CCD"/>
    <w:rsid w:val="0027768D"/>
    <w:rsid w:val="002829BE"/>
    <w:rsid w:val="002843E2"/>
    <w:rsid w:val="002930DB"/>
    <w:rsid w:val="00296261"/>
    <w:rsid w:val="002A4920"/>
    <w:rsid w:val="002A6FDD"/>
    <w:rsid w:val="002A7FCF"/>
    <w:rsid w:val="002B0513"/>
    <w:rsid w:val="002B15AF"/>
    <w:rsid w:val="002B1C6A"/>
    <w:rsid w:val="002B42C4"/>
    <w:rsid w:val="002B6D40"/>
    <w:rsid w:val="002C0DA0"/>
    <w:rsid w:val="002C0E01"/>
    <w:rsid w:val="002C2B92"/>
    <w:rsid w:val="002D11DB"/>
    <w:rsid w:val="002D1EBA"/>
    <w:rsid w:val="002D392A"/>
    <w:rsid w:val="002D4816"/>
    <w:rsid w:val="002E13FC"/>
    <w:rsid w:val="002E270E"/>
    <w:rsid w:val="002E3048"/>
    <w:rsid w:val="002E43E4"/>
    <w:rsid w:val="002E5150"/>
    <w:rsid w:val="002F05D2"/>
    <w:rsid w:val="002F0AB8"/>
    <w:rsid w:val="002F377E"/>
    <w:rsid w:val="002F52AE"/>
    <w:rsid w:val="003001C7"/>
    <w:rsid w:val="00300F3B"/>
    <w:rsid w:val="003038F3"/>
    <w:rsid w:val="0030581F"/>
    <w:rsid w:val="00306115"/>
    <w:rsid w:val="0030640E"/>
    <w:rsid w:val="00310007"/>
    <w:rsid w:val="00310213"/>
    <w:rsid w:val="00310CB8"/>
    <w:rsid w:val="00314E46"/>
    <w:rsid w:val="003166CE"/>
    <w:rsid w:val="003206AE"/>
    <w:rsid w:val="00323BE1"/>
    <w:rsid w:val="00330B60"/>
    <w:rsid w:val="0033389E"/>
    <w:rsid w:val="00336BB2"/>
    <w:rsid w:val="003370B2"/>
    <w:rsid w:val="00337217"/>
    <w:rsid w:val="00337728"/>
    <w:rsid w:val="00341204"/>
    <w:rsid w:val="00344FE1"/>
    <w:rsid w:val="003525E0"/>
    <w:rsid w:val="00355887"/>
    <w:rsid w:val="00362733"/>
    <w:rsid w:val="003635CB"/>
    <w:rsid w:val="003722F3"/>
    <w:rsid w:val="00373780"/>
    <w:rsid w:val="00375578"/>
    <w:rsid w:val="0037593F"/>
    <w:rsid w:val="00380641"/>
    <w:rsid w:val="00380BF4"/>
    <w:rsid w:val="00381D92"/>
    <w:rsid w:val="003831EE"/>
    <w:rsid w:val="0038683C"/>
    <w:rsid w:val="003877EF"/>
    <w:rsid w:val="003908F5"/>
    <w:rsid w:val="0039131B"/>
    <w:rsid w:val="0039228D"/>
    <w:rsid w:val="003A44CE"/>
    <w:rsid w:val="003A6858"/>
    <w:rsid w:val="003A7727"/>
    <w:rsid w:val="003B24DC"/>
    <w:rsid w:val="003B3622"/>
    <w:rsid w:val="003C0DC2"/>
    <w:rsid w:val="003C5302"/>
    <w:rsid w:val="003C6D00"/>
    <w:rsid w:val="003C6D51"/>
    <w:rsid w:val="003C7885"/>
    <w:rsid w:val="003D2602"/>
    <w:rsid w:val="003D3CB3"/>
    <w:rsid w:val="003D5424"/>
    <w:rsid w:val="003D7014"/>
    <w:rsid w:val="003D7046"/>
    <w:rsid w:val="003E14C4"/>
    <w:rsid w:val="003E3315"/>
    <w:rsid w:val="003E395C"/>
    <w:rsid w:val="003F3437"/>
    <w:rsid w:val="0040143D"/>
    <w:rsid w:val="0041485A"/>
    <w:rsid w:val="0042078E"/>
    <w:rsid w:val="00421D78"/>
    <w:rsid w:val="004220DD"/>
    <w:rsid w:val="004227D2"/>
    <w:rsid w:val="00426708"/>
    <w:rsid w:val="0043244D"/>
    <w:rsid w:val="0043368F"/>
    <w:rsid w:val="00435171"/>
    <w:rsid w:val="004367F9"/>
    <w:rsid w:val="00436FF1"/>
    <w:rsid w:val="00437540"/>
    <w:rsid w:val="004379C0"/>
    <w:rsid w:val="004401A4"/>
    <w:rsid w:val="00440405"/>
    <w:rsid w:val="004414E6"/>
    <w:rsid w:val="0044394C"/>
    <w:rsid w:val="0044409C"/>
    <w:rsid w:val="00444353"/>
    <w:rsid w:val="0044475F"/>
    <w:rsid w:val="00447073"/>
    <w:rsid w:val="00450541"/>
    <w:rsid w:val="0045471C"/>
    <w:rsid w:val="00454AE0"/>
    <w:rsid w:val="00455FF1"/>
    <w:rsid w:val="0045607E"/>
    <w:rsid w:val="00460D96"/>
    <w:rsid w:val="00461365"/>
    <w:rsid w:val="00461B33"/>
    <w:rsid w:val="0046730F"/>
    <w:rsid w:val="00471458"/>
    <w:rsid w:val="00471DC3"/>
    <w:rsid w:val="00473936"/>
    <w:rsid w:val="00473BBF"/>
    <w:rsid w:val="00476563"/>
    <w:rsid w:val="00476D63"/>
    <w:rsid w:val="0048260B"/>
    <w:rsid w:val="00486AFD"/>
    <w:rsid w:val="0049174D"/>
    <w:rsid w:val="00492AE9"/>
    <w:rsid w:val="00494047"/>
    <w:rsid w:val="004958AB"/>
    <w:rsid w:val="004A09E8"/>
    <w:rsid w:val="004A0D9E"/>
    <w:rsid w:val="004A0E1A"/>
    <w:rsid w:val="004A4C3B"/>
    <w:rsid w:val="004A6347"/>
    <w:rsid w:val="004B4C45"/>
    <w:rsid w:val="004B7C43"/>
    <w:rsid w:val="004C4573"/>
    <w:rsid w:val="004C5347"/>
    <w:rsid w:val="004C7B34"/>
    <w:rsid w:val="004D004B"/>
    <w:rsid w:val="004D1D46"/>
    <w:rsid w:val="004D228C"/>
    <w:rsid w:val="004D43B1"/>
    <w:rsid w:val="004E05AE"/>
    <w:rsid w:val="004E15BA"/>
    <w:rsid w:val="004E726F"/>
    <w:rsid w:val="004F29EA"/>
    <w:rsid w:val="004F73C0"/>
    <w:rsid w:val="00502168"/>
    <w:rsid w:val="00503098"/>
    <w:rsid w:val="00504964"/>
    <w:rsid w:val="00504B73"/>
    <w:rsid w:val="005113C9"/>
    <w:rsid w:val="00513A46"/>
    <w:rsid w:val="00513CF2"/>
    <w:rsid w:val="005140E4"/>
    <w:rsid w:val="00514385"/>
    <w:rsid w:val="0051614F"/>
    <w:rsid w:val="00517863"/>
    <w:rsid w:val="00520F8B"/>
    <w:rsid w:val="00523364"/>
    <w:rsid w:val="00523AC8"/>
    <w:rsid w:val="0052419F"/>
    <w:rsid w:val="00532BD3"/>
    <w:rsid w:val="00536CAB"/>
    <w:rsid w:val="00540900"/>
    <w:rsid w:val="00545544"/>
    <w:rsid w:val="0055047C"/>
    <w:rsid w:val="00552665"/>
    <w:rsid w:val="0055646D"/>
    <w:rsid w:val="00556483"/>
    <w:rsid w:val="005642FD"/>
    <w:rsid w:val="00566BA9"/>
    <w:rsid w:val="00573BBB"/>
    <w:rsid w:val="0057451E"/>
    <w:rsid w:val="00577325"/>
    <w:rsid w:val="005809A4"/>
    <w:rsid w:val="00583171"/>
    <w:rsid w:val="005844AB"/>
    <w:rsid w:val="00585605"/>
    <w:rsid w:val="00586886"/>
    <w:rsid w:val="005928A2"/>
    <w:rsid w:val="0059525B"/>
    <w:rsid w:val="0059556C"/>
    <w:rsid w:val="00597305"/>
    <w:rsid w:val="005A1385"/>
    <w:rsid w:val="005A74A2"/>
    <w:rsid w:val="005B0009"/>
    <w:rsid w:val="005B057F"/>
    <w:rsid w:val="005B2E1A"/>
    <w:rsid w:val="005B564D"/>
    <w:rsid w:val="005B6BBD"/>
    <w:rsid w:val="005B7060"/>
    <w:rsid w:val="005C0B15"/>
    <w:rsid w:val="005C3463"/>
    <w:rsid w:val="005D0AB2"/>
    <w:rsid w:val="005D2A2A"/>
    <w:rsid w:val="005D3E4F"/>
    <w:rsid w:val="005D6F16"/>
    <w:rsid w:val="005E06F4"/>
    <w:rsid w:val="005E0A21"/>
    <w:rsid w:val="005E0C78"/>
    <w:rsid w:val="005E202E"/>
    <w:rsid w:val="005E4605"/>
    <w:rsid w:val="005E50BE"/>
    <w:rsid w:val="005E6AF5"/>
    <w:rsid w:val="005F0DF9"/>
    <w:rsid w:val="005F422B"/>
    <w:rsid w:val="005F44D7"/>
    <w:rsid w:val="005F75A0"/>
    <w:rsid w:val="005F76D2"/>
    <w:rsid w:val="005F7855"/>
    <w:rsid w:val="00600489"/>
    <w:rsid w:val="006052B1"/>
    <w:rsid w:val="00605AD0"/>
    <w:rsid w:val="006062CA"/>
    <w:rsid w:val="00614BCB"/>
    <w:rsid w:val="006159D1"/>
    <w:rsid w:val="00617984"/>
    <w:rsid w:val="0062099C"/>
    <w:rsid w:val="00621253"/>
    <w:rsid w:val="006235DF"/>
    <w:rsid w:val="00626DDA"/>
    <w:rsid w:val="00627206"/>
    <w:rsid w:val="00630667"/>
    <w:rsid w:val="006342E2"/>
    <w:rsid w:val="00634472"/>
    <w:rsid w:val="006408CF"/>
    <w:rsid w:val="00641091"/>
    <w:rsid w:val="006419C0"/>
    <w:rsid w:val="0064396E"/>
    <w:rsid w:val="00643D5D"/>
    <w:rsid w:val="006463A0"/>
    <w:rsid w:val="00646EF0"/>
    <w:rsid w:val="00647141"/>
    <w:rsid w:val="006479BE"/>
    <w:rsid w:val="00655310"/>
    <w:rsid w:val="00656847"/>
    <w:rsid w:val="00656F2D"/>
    <w:rsid w:val="006612BD"/>
    <w:rsid w:val="00671525"/>
    <w:rsid w:val="00671666"/>
    <w:rsid w:val="00672788"/>
    <w:rsid w:val="006747F3"/>
    <w:rsid w:val="00681948"/>
    <w:rsid w:val="00682539"/>
    <w:rsid w:val="006836B8"/>
    <w:rsid w:val="006867B0"/>
    <w:rsid w:val="0069009C"/>
    <w:rsid w:val="00692322"/>
    <w:rsid w:val="00693FD2"/>
    <w:rsid w:val="006971CF"/>
    <w:rsid w:val="006A4DDB"/>
    <w:rsid w:val="006A5410"/>
    <w:rsid w:val="006A5604"/>
    <w:rsid w:val="006B09D6"/>
    <w:rsid w:val="006B3FF0"/>
    <w:rsid w:val="006B5503"/>
    <w:rsid w:val="006C17A7"/>
    <w:rsid w:val="006C7D67"/>
    <w:rsid w:val="006D0820"/>
    <w:rsid w:val="006D0C2C"/>
    <w:rsid w:val="006D1139"/>
    <w:rsid w:val="006D2FE4"/>
    <w:rsid w:val="006D5F20"/>
    <w:rsid w:val="006D668A"/>
    <w:rsid w:val="006E4711"/>
    <w:rsid w:val="006E50BB"/>
    <w:rsid w:val="006F1D45"/>
    <w:rsid w:val="006F2394"/>
    <w:rsid w:val="006F367D"/>
    <w:rsid w:val="006F41BA"/>
    <w:rsid w:val="006F6451"/>
    <w:rsid w:val="006F6D09"/>
    <w:rsid w:val="00701C53"/>
    <w:rsid w:val="007037DA"/>
    <w:rsid w:val="007042A9"/>
    <w:rsid w:val="00707845"/>
    <w:rsid w:val="007127B2"/>
    <w:rsid w:val="007163D1"/>
    <w:rsid w:val="00716AF3"/>
    <w:rsid w:val="007174D5"/>
    <w:rsid w:val="00717C52"/>
    <w:rsid w:val="00722C49"/>
    <w:rsid w:val="00723726"/>
    <w:rsid w:val="00724061"/>
    <w:rsid w:val="0072795A"/>
    <w:rsid w:val="007279B1"/>
    <w:rsid w:val="007332A6"/>
    <w:rsid w:val="007368DD"/>
    <w:rsid w:val="007422EE"/>
    <w:rsid w:val="00745F79"/>
    <w:rsid w:val="0074743A"/>
    <w:rsid w:val="007528A0"/>
    <w:rsid w:val="007537B9"/>
    <w:rsid w:val="00757247"/>
    <w:rsid w:val="00760F0A"/>
    <w:rsid w:val="007616D7"/>
    <w:rsid w:val="00762A8F"/>
    <w:rsid w:val="00766D54"/>
    <w:rsid w:val="00773001"/>
    <w:rsid w:val="00776841"/>
    <w:rsid w:val="007810F8"/>
    <w:rsid w:val="00783DD3"/>
    <w:rsid w:val="00783F5C"/>
    <w:rsid w:val="00785CEF"/>
    <w:rsid w:val="007867D0"/>
    <w:rsid w:val="00786B84"/>
    <w:rsid w:val="00787267"/>
    <w:rsid w:val="007937DD"/>
    <w:rsid w:val="007A4059"/>
    <w:rsid w:val="007A7417"/>
    <w:rsid w:val="007B042C"/>
    <w:rsid w:val="007B26BA"/>
    <w:rsid w:val="007B47DE"/>
    <w:rsid w:val="007B4B2F"/>
    <w:rsid w:val="007B5E0A"/>
    <w:rsid w:val="007C077A"/>
    <w:rsid w:val="007C0DFD"/>
    <w:rsid w:val="007C0FFA"/>
    <w:rsid w:val="007C1357"/>
    <w:rsid w:val="007D112D"/>
    <w:rsid w:val="007D6869"/>
    <w:rsid w:val="007D786E"/>
    <w:rsid w:val="007E5013"/>
    <w:rsid w:val="007E5413"/>
    <w:rsid w:val="007F1A72"/>
    <w:rsid w:val="007F252C"/>
    <w:rsid w:val="007F4074"/>
    <w:rsid w:val="007F531B"/>
    <w:rsid w:val="007F6134"/>
    <w:rsid w:val="0080023B"/>
    <w:rsid w:val="008021CD"/>
    <w:rsid w:val="008024A7"/>
    <w:rsid w:val="008024F9"/>
    <w:rsid w:val="008042C7"/>
    <w:rsid w:val="00806F9B"/>
    <w:rsid w:val="00807A5A"/>
    <w:rsid w:val="00815890"/>
    <w:rsid w:val="00823DB0"/>
    <w:rsid w:val="0082420D"/>
    <w:rsid w:val="008256CF"/>
    <w:rsid w:val="00826658"/>
    <w:rsid w:val="00827188"/>
    <w:rsid w:val="00830023"/>
    <w:rsid w:val="00831C7A"/>
    <w:rsid w:val="0084613C"/>
    <w:rsid w:val="00850A1B"/>
    <w:rsid w:val="0085188D"/>
    <w:rsid w:val="00855B20"/>
    <w:rsid w:val="00857192"/>
    <w:rsid w:val="008607B2"/>
    <w:rsid w:val="00863C25"/>
    <w:rsid w:val="00875773"/>
    <w:rsid w:val="008818D5"/>
    <w:rsid w:val="008837C6"/>
    <w:rsid w:val="008852BB"/>
    <w:rsid w:val="008905E2"/>
    <w:rsid w:val="008930EF"/>
    <w:rsid w:val="00895A14"/>
    <w:rsid w:val="008A299D"/>
    <w:rsid w:val="008A60D8"/>
    <w:rsid w:val="008B31F6"/>
    <w:rsid w:val="008B55C4"/>
    <w:rsid w:val="008B74C0"/>
    <w:rsid w:val="008B77DE"/>
    <w:rsid w:val="008C00E3"/>
    <w:rsid w:val="008C08BB"/>
    <w:rsid w:val="008C4224"/>
    <w:rsid w:val="008C5BCB"/>
    <w:rsid w:val="008C6CE5"/>
    <w:rsid w:val="008D2A90"/>
    <w:rsid w:val="008D3F79"/>
    <w:rsid w:val="008D4D96"/>
    <w:rsid w:val="008D59A1"/>
    <w:rsid w:val="008D7602"/>
    <w:rsid w:val="008E41C3"/>
    <w:rsid w:val="008E5242"/>
    <w:rsid w:val="008F2808"/>
    <w:rsid w:val="008F3D58"/>
    <w:rsid w:val="008F5FE7"/>
    <w:rsid w:val="008F62ED"/>
    <w:rsid w:val="008F7875"/>
    <w:rsid w:val="009042B4"/>
    <w:rsid w:val="0091514B"/>
    <w:rsid w:val="00917358"/>
    <w:rsid w:val="00920E22"/>
    <w:rsid w:val="00922B09"/>
    <w:rsid w:val="00923573"/>
    <w:rsid w:val="00925F3A"/>
    <w:rsid w:val="0093297D"/>
    <w:rsid w:val="00932A7F"/>
    <w:rsid w:val="00932BB7"/>
    <w:rsid w:val="0093314D"/>
    <w:rsid w:val="00936A8B"/>
    <w:rsid w:val="009379A9"/>
    <w:rsid w:val="0094042A"/>
    <w:rsid w:val="00945B6D"/>
    <w:rsid w:val="0095217C"/>
    <w:rsid w:val="00953DCC"/>
    <w:rsid w:val="0096209A"/>
    <w:rsid w:val="00965240"/>
    <w:rsid w:val="00971720"/>
    <w:rsid w:val="00973509"/>
    <w:rsid w:val="00976B31"/>
    <w:rsid w:val="00976F60"/>
    <w:rsid w:val="0097777B"/>
    <w:rsid w:val="00980565"/>
    <w:rsid w:val="009819AA"/>
    <w:rsid w:val="009823E7"/>
    <w:rsid w:val="009834F4"/>
    <w:rsid w:val="009840A3"/>
    <w:rsid w:val="00986E25"/>
    <w:rsid w:val="00987596"/>
    <w:rsid w:val="00991B62"/>
    <w:rsid w:val="00992C94"/>
    <w:rsid w:val="00995B58"/>
    <w:rsid w:val="0099747E"/>
    <w:rsid w:val="009A3009"/>
    <w:rsid w:val="009A593E"/>
    <w:rsid w:val="009A7A1A"/>
    <w:rsid w:val="009B3B86"/>
    <w:rsid w:val="009B3D90"/>
    <w:rsid w:val="009B5569"/>
    <w:rsid w:val="009C1138"/>
    <w:rsid w:val="009C16AF"/>
    <w:rsid w:val="009C197D"/>
    <w:rsid w:val="009C214E"/>
    <w:rsid w:val="009C37F8"/>
    <w:rsid w:val="009C3EB8"/>
    <w:rsid w:val="009C4F4B"/>
    <w:rsid w:val="009D162E"/>
    <w:rsid w:val="009D4A0B"/>
    <w:rsid w:val="009E3132"/>
    <w:rsid w:val="009E3593"/>
    <w:rsid w:val="009E43CF"/>
    <w:rsid w:val="009E5194"/>
    <w:rsid w:val="009E548F"/>
    <w:rsid w:val="009E661C"/>
    <w:rsid w:val="009E7D86"/>
    <w:rsid w:val="009F467D"/>
    <w:rsid w:val="009F48E1"/>
    <w:rsid w:val="009F50C5"/>
    <w:rsid w:val="00A00DFB"/>
    <w:rsid w:val="00A01927"/>
    <w:rsid w:val="00A023F4"/>
    <w:rsid w:val="00A02DBC"/>
    <w:rsid w:val="00A033CC"/>
    <w:rsid w:val="00A04F47"/>
    <w:rsid w:val="00A072D0"/>
    <w:rsid w:val="00A11426"/>
    <w:rsid w:val="00A17964"/>
    <w:rsid w:val="00A214D8"/>
    <w:rsid w:val="00A228D7"/>
    <w:rsid w:val="00A23021"/>
    <w:rsid w:val="00A24CF2"/>
    <w:rsid w:val="00A30099"/>
    <w:rsid w:val="00A33D6E"/>
    <w:rsid w:val="00A3402B"/>
    <w:rsid w:val="00A3562B"/>
    <w:rsid w:val="00A374B6"/>
    <w:rsid w:val="00A3755F"/>
    <w:rsid w:val="00A4357D"/>
    <w:rsid w:val="00A45842"/>
    <w:rsid w:val="00A46054"/>
    <w:rsid w:val="00A46B6D"/>
    <w:rsid w:val="00A50992"/>
    <w:rsid w:val="00A51AE7"/>
    <w:rsid w:val="00A5244A"/>
    <w:rsid w:val="00A54C91"/>
    <w:rsid w:val="00A54FF6"/>
    <w:rsid w:val="00A56643"/>
    <w:rsid w:val="00A571DB"/>
    <w:rsid w:val="00A648FA"/>
    <w:rsid w:val="00A65F0A"/>
    <w:rsid w:val="00A70F61"/>
    <w:rsid w:val="00A74CD5"/>
    <w:rsid w:val="00A75CC3"/>
    <w:rsid w:val="00A817E8"/>
    <w:rsid w:val="00A84635"/>
    <w:rsid w:val="00A93834"/>
    <w:rsid w:val="00A94510"/>
    <w:rsid w:val="00A9459B"/>
    <w:rsid w:val="00A979B3"/>
    <w:rsid w:val="00AA0201"/>
    <w:rsid w:val="00AA32BE"/>
    <w:rsid w:val="00AA7395"/>
    <w:rsid w:val="00AB0E23"/>
    <w:rsid w:val="00AB20ED"/>
    <w:rsid w:val="00AB2274"/>
    <w:rsid w:val="00AB3D29"/>
    <w:rsid w:val="00AB5564"/>
    <w:rsid w:val="00AB5FA9"/>
    <w:rsid w:val="00AB7FCB"/>
    <w:rsid w:val="00AC082A"/>
    <w:rsid w:val="00AC13D1"/>
    <w:rsid w:val="00AC555E"/>
    <w:rsid w:val="00AD0AC7"/>
    <w:rsid w:val="00AD29A8"/>
    <w:rsid w:val="00AD6ED2"/>
    <w:rsid w:val="00AD7A59"/>
    <w:rsid w:val="00AE1FD6"/>
    <w:rsid w:val="00AE401D"/>
    <w:rsid w:val="00AE5300"/>
    <w:rsid w:val="00AF10E0"/>
    <w:rsid w:val="00AF270C"/>
    <w:rsid w:val="00AF56CF"/>
    <w:rsid w:val="00B00719"/>
    <w:rsid w:val="00B00784"/>
    <w:rsid w:val="00B028AD"/>
    <w:rsid w:val="00B02D83"/>
    <w:rsid w:val="00B064AB"/>
    <w:rsid w:val="00B06665"/>
    <w:rsid w:val="00B066DC"/>
    <w:rsid w:val="00B1199D"/>
    <w:rsid w:val="00B20DA3"/>
    <w:rsid w:val="00B260E6"/>
    <w:rsid w:val="00B27193"/>
    <w:rsid w:val="00B3117D"/>
    <w:rsid w:val="00B31FA7"/>
    <w:rsid w:val="00B31FA8"/>
    <w:rsid w:val="00B33381"/>
    <w:rsid w:val="00B34164"/>
    <w:rsid w:val="00B44AF3"/>
    <w:rsid w:val="00B45A1C"/>
    <w:rsid w:val="00B515EF"/>
    <w:rsid w:val="00B55F37"/>
    <w:rsid w:val="00B620F4"/>
    <w:rsid w:val="00B62917"/>
    <w:rsid w:val="00B63783"/>
    <w:rsid w:val="00B671EB"/>
    <w:rsid w:val="00B83F5D"/>
    <w:rsid w:val="00B850C8"/>
    <w:rsid w:val="00B87B4F"/>
    <w:rsid w:val="00B91DAB"/>
    <w:rsid w:val="00B973F6"/>
    <w:rsid w:val="00BA109B"/>
    <w:rsid w:val="00BA3999"/>
    <w:rsid w:val="00BA570B"/>
    <w:rsid w:val="00BB1706"/>
    <w:rsid w:val="00BB2D5C"/>
    <w:rsid w:val="00BB3A2F"/>
    <w:rsid w:val="00BB5CB1"/>
    <w:rsid w:val="00BC1874"/>
    <w:rsid w:val="00BC1DE1"/>
    <w:rsid w:val="00BC2251"/>
    <w:rsid w:val="00BC418D"/>
    <w:rsid w:val="00BC5514"/>
    <w:rsid w:val="00BC7567"/>
    <w:rsid w:val="00BC778C"/>
    <w:rsid w:val="00BD02FC"/>
    <w:rsid w:val="00BD05F5"/>
    <w:rsid w:val="00BD094A"/>
    <w:rsid w:val="00BD0CF1"/>
    <w:rsid w:val="00BD27C1"/>
    <w:rsid w:val="00BD3D7E"/>
    <w:rsid w:val="00BD6492"/>
    <w:rsid w:val="00BE0692"/>
    <w:rsid w:val="00BE0E2A"/>
    <w:rsid w:val="00BE1C68"/>
    <w:rsid w:val="00BE30D9"/>
    <w:rsid w:val="00BF11BE"/>
    <w:rsid w:val="00BF394D"/>
    <w:rsid w:val="00C01EBF"/>
    <w:rsid w:val="00C10B34"/>
    <w:rsid w:val="00C1188F"/>
    <w:rsid w:val="00C11DF3"/>
    <w:rsid w:val="00C13337"/>
    <w:rsid w:val="00C17CFC"/>
    <w:rsid w:val="00C20D3B"/>
    <w:rsid w:val="00C20DF3"/>
    <w:rsid w:val="00C21669"/>
    <w:rsid w:val="00C22BA4"/>
    <w:rsid w:val="00C239CC"/>
    <w:rsid w:val="00C25546"/>
    <w:rsid w:val="00C37ADD"/>
    <w:rsid w:val="00C4182E"/>
    <w:rsid w:val="00C41C6F"/>
    <w:rsid w:val="00C41D35"/>
    <w:rsid w:val="00C4243A"/>
    <w:rsid w:val="00C43E66"/>
    <w:rsid w:val="00C4464E"/>
    <w:rsid w:val="00C45D3E"/>
    <w:rsid w:val="00C4633F"/>
    <w:rsid w:val="00C50F6D"/>
    <w:rsid w:val="00C56147"/>
    <w:rsid w:val="00C577A3"/>
    <w:rsid w:val="00C617E5"/>
    <w:rsid w:val="00C62B3B"/>
    <w:rsid w:val="00C6369E"/>
    <w:rsid w:val="00C644F9"/>
    <w:rsid w:val="00C66487"/>
    <w:rsid w:val="00C66634"/>
    <w:rsid w:val="00C746DF"/>
    <w:rsid w:val="00C80C81"/>
    <w:rsid w:val="00C84ACB"/>
    <w:rsid w:val="00C84B42"/>
    <w:rsid w:val="00C85C88"/>
    <w:rsid w:val="00C867B8"/>
    <w:rsid w:val="00C869BD"/>
    <w:rsid w:val="00C87895"/>
    <w:rsid w:val="00C90E45"/>
    <w:rsid w:val="00C9216F"/>
    <w:rsid w:val="00C92AE5"/>
    <w:rsid w:val="00C9567A"/>
    <w:rsid w:val="00C95FB6"/>
    <w:rsid w:val="00C9684F"/>
    <w:rsid w:val="00C97E59"/>
    <w:rsid w:val="00CA0059"/>
    <w:rsid w:val="00CA122C"/>
    <w:rsid w:val="00CA7B53"/>
    <w:rsid w:val="00CB0499"/>
    <w:rsid w:val="00CB2496"/>
    <w:rsid w:val="00CB4E32"/>
    <w:rsid w:val="00CB63FA"/>
    <w:rsid w:val="00CC080B"/>
    <w:rsid w:val="00CC23FF"/>
    <w:rsid w:val="00CC3964"/>
    <w:rsid w:val="00CC3F56"/>
    <w:rsid w:val="00CD4204"/>
    <w:rsid w:val="00CD4C77"/>
    <w:rsid w:val="00CE0B09"/>
    <w:rsid w:val="00CE243F"/>
    <w:rsid w:val="00CE24CF"/>
    <w:rsid w:val="00CF1148"/>
    <w:rsid w:val="00CF1713"/>
    <w:rsid w:val="00CF18B2"/>
    <w:rsid w:val="00CF1BE5"/>
    <w:rsid w:val="00CF5727"/>
    <w:rsid w:val="00CF7739"/>
    <w:rsid w:val="00D011BF"/>
    <w:rsid w:val="00D01E1B"/>
    <w:rsid w:val="00D025BD"/>
    <w:rsid w:val="00D02D6C"/>
    <w:rsid w:val="00D035F0"/>
    <w:rsid w:val="00D05584"/>
    <w:rsid w:val="00D06306"/>
    <w:rsid w:val="00D07C5B"/>
    <w:rsid w:val="00D10EC4"/>
    <w:rsid w:val="00D14396"/>
    <w:rsid w:val="00D1457C"/>
    <w:rsid w:val="00D1484A"/>
    <w:rsid w:val="00D15012"/>
    <w:rsid w:val="00D21BEB"/>
    <w:rsid w:val="00D2460D"/>
    <w:rsid w:val="00D25138"/>
    <w:rsid w:val="00D30742"/>
    <w:rsid w:val="00D31312"/>
    <w:rsid w:val="00D40364"/>
    <w:rsid w:val="00D419E4"/>
    <w:rsid w:val="00D42A5D"/>
    <w:rsid w:val="00D451D8"/>
    <w:rsid w:val="00D604A6"/>
    <w:rsid w:val="00D611DA"/>
    <w:rsid w:val="00D6147E"/>
    <w:rsid w:val="00D64131"/>
    <w:rsid w:val="00D65944"/>
    <w:rsid w:val="00D705ED"/>
    <w:rsid w:val="00D70F40"/>
    <w:rsid w:val="00D73981"/>
    <w:rsid w:val="00D74512"/>
    <w:rsid w:val="00D74838"/>
    <w:rsid w:val="00D7756A"/>
    <w:rsid w:val="00D8001A"/>
    <w:rsid w:val="00D80AF0"/>
    <w:rsid w:val="00D81CCC"/>
    <w:rsid w:val="00D83988"/>
    <w:rsid w:val="00D86CAC"/>
    <w:rsid w:val="00D90365"/>
    <w:rsid w:val="00D90C73"/>
    <w:rsid w:val="00D914C6"/>
    <w:rsid w:val="00D9290A"/>
    <w:rsid w:val="00D95985"/>
    <w:rsid w:val="00D97F1F"/>
    <w:rsid w:val="00DA1735"/>
    <w:rsid w:val="00DA2253"/>
    <w:rsid w:val="00DA4A36"/>
    <w:rsid w:val="00DA635E"/>
    <w:rsid w:val="00DB1532"/>
    <w:rsid w:val="00DB668F"/>
    <w:rsid w:val="00DC4329"/>
    <w:rsid w:val="00DC4E63"/>
    <w:rsid w:val="00DC78B5"/>
    <w:rsid w:val="00DD10DC"/>
    <w:rsid w:val="00DD361C"/>
    <w:rsid w:val="00DD3E1C"/>
    <w:rsid w:val="00DD4593"/>
    <w:rsid w:val="00DD732F"/>
    <w:rsid w:val="00DE1E1C"/>
    <w:rsid w:val="00DE2583"/>
    <w:rsid w:val="00DE393E"/>
    <w:rsid w:val="00DE3BBB"/>
    <w:rsid w:val="00DE7AAA"/>
    <w:rsid w:val="00DF0ED4"/>
    <w:rsid w:val="00DF1D2C"/>
    <w:rsid w:val="00DF2743"/>
    <w:rsid w:val="00E04F63"/>
    <w:rsid w:val="00E06099"/>
    <w:rsid w:val="00E065AD"/>
    <w:rsid w:val="00E10E7D"/>
    <w:rsid w:val="00E15655"/>
    <w:rsid w:val="00E201BA"/>
    <w:rsid w:val="00E220C2"/>
    <w:rsid w:val="00E2266F"/>
    <w:rsid w:val="00E227B4"/>
    <w:rsid w:val="00E33A6A"/>
    <w:rsid w:val="00E34AAD"/>
    <w:rsid w:val="00E35A13"/>
    <w:rsid w:val="00E37386"/>
    <w:rsid w:val="00E43052"/>
    <w:rsid w:val="00E444A3"/>
    <w:rsid w:val="00E44F8B"/>
    <w:rsid w:val="00E4585F"/>
    <w:rsid w:val="00E45EA1"/>
    <w:rsid w:val="00E463D0"/>
    <w:rsid w:val="00E46757"/>
    <w:rsid w:val="00E474E5"/>
    <w:rsid w:val="00E52D87"/>
    <w:rsid w:val="00E531F2"/>
    <w:rsid w:val="00E55B54"/>
    <w:rsid w:val="00E57D93"/>
    <w:rsid w:val="00E60FEC"/>
    <w:rsid w:val="00E62848"/>
    <w:rsid w:val="00E66DA2"/>
    <w:rsid w:val="00E702C1"/>
    <w:rsid w:val="00E81BBA"/>
    <w:rsid w:val="00E82A5A"/>
    <w:rsid w:val="00E82FD8"/>
    <w:rsid w:val="00E85022"/>
    <w:rsid w:val="00E876AC"/>
    <w:rsid w:val="00E90BFD"/>
    <w:rsid w:val="00E9174A"/>
    <w:rsid w:val="00E97742"/>
    <w:rsid w:val="00EA1617"/>
    <w:rsid w:val="00EA19E0"/>
    <w:rsid w:val="00EA56FC"/>
    <w:rsid w:val="00EA762D"/>
    <w:rsid w:val="00EB0FF7"/>
    <w:rsid w:val="00EB2A98"/>
    <w:rsid w:val="00EB382C"/>
    <w:rsid w:val="00EB4079"/>
    <w:rsid w:val="00EB4887"/>
    <w:rsid w:val="00EB4C66"/>
    <w:rsid w:val="00EB57F5"/>
    <w:rsid w:val="00EB5DB2"/>
    <w:rsid w:val="00EC1EE6"/>
    <w:rsid w:val="00ED09DF"/>
    <w:rsid w:val="00ED294D"/>
    <w:rsid w:val="00ED2A53"/>
    <w:rsid w:val="00ED5393"/>
    <w:rsid w:val="00ED6AA2"/>
    <w:rsid w:val="00EE0DC7"/>
    <w:rsid w:val="00EE4B11"/>
    <w:rsid w:val="00EE7ACA"/>
    <w:rsid w:val="00EE7E03"/>
    <w:rsid w:val="00EF0A31"/>
    <w:rsid w:val="00EF3EDE"/>
    <w:rsid w:val="00EF640C"/>
    <w:rsid w:val="00F01ACC"/>
    <w:rsid w:val="00F028D9"/>
    <w:rsid w:val="00F068B7"/>
    <w:rsid w:val="00F06B7A"/>
    <w:rsid w:val="00F0726F"/>
    <w:rsid w:val="00F07B6F"/>
    <w:rsid w:val="00F12013"/>
    <w:rsid w:val="00F126D6"/>
    <w:rsid w:val="00F16D58"/>
    <w:rsid w:val="00F21A11"/>
    <w:rsid w:val="00F351D3"/>
    <w:rsid w:val="00F379EE"/>
    <w:rsid w:val="00F40F4D"/>
    <w:rsid w:val="00F41EBD"/>
    <w:rsid w:val="00F46A5D"/>
    <w:rsid w:val="00F46C89"/>
    <w:rsid w:val="00F46D16"/>
    <w:rsid w:val="00F51039"/>
    <w:rsid w:val="00F52178"/>
    <w:rsid w:val="00F522A0"/>
    <w:rsid w:val="00F5351C"/>
    <w:rsid w:val="00F552AD"/>
    <w:rsid w:val="00F55870"/>
    <w:rsid w:val="00F56AA4"/>
    <w:rsid w:val="00F57413"/>
    <w:rsid w:val="00F604E7"/>
    <w:rsid w:val="00F61CCB"/>
    <w:rsid w:val="00F63986"/>
    <w:rsid w:val="00F654EE"/>
    <w:rsid w:val="00F716E9"/>
    <w:rsid w:val="00F72284"/>
    <w:rsid w:val="00F76152"/>
    <w:rsid w:val="00F849E0"/>
    <w:rsid w:val="00F84CEA"/>
    <w:rsid w:val="00F85EE7"/>
    <w:rsid w:val="00F8651D"/>
    <w:rsid w:val="00F97C94"/>
    <w:rsid w:val="00FA0196"/>
    <w:rsid w:val="00FA30E1"/>
    <w:rsid w:val="00FA3A1D"/>
    <w:rsid w:val="00FA4A6D"/>
    <w:rsid w:val="00FA6E07"/>
    <w:rsid w:val="00FB090F"/>
    <w:rsid w:val="00FB1D4E"/>
    <w:rsid w:val="00FB418E"/>
    <w:rsid w:val="00FB6892"/>
    <w:rsid w:val="00FC1CC2"/>
    <w:rsid w:val="00FC5B6D"/>
    <w:rsid w:val="00FC7647"/>
    <w:rsid w:val="00FD0BCB"/>
    <w:rsid w:val="00FD1684"/>
    <w:rsid w:val="00FD1E32"/>
    <w:rsid w:val="00FD1FA2"/>
    <w:rsid w:val="00FD4918"/>
    <w:rsid w:val="00FD54E2"/>
    <w:rsid w:val="00FD5FAE"/>
    <w:rsid w:val="00FD705A"/>
    <w:rsid w:val="00FD780D"/>
    <w:rsid w:val="00FE0BC1"/>
    <w:rsid w:val="00FE3ACA"/>
    <w:rsid w:val="00FE4B23"/>
    <w:rsid w:val="00FF0E45"/>
    <w:rsid w:val="00FF5F0E"/>
    <w:rsid w:val="00FF6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A7F8"/>
  <w15:docId w15:val="{82EE146A-8CB5-4E04-85B1-E28D5796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CC"/>
    <w:pPr>
      <w:spacing w:before="0" w:after="0"/>
      <w:ind w:firstLine="0"/>
    </w:pPr>
    <w:rPr>
      <w:rFonts w:eastAsia="MS Mincho"/>
      <w:szCs w:val="24"/>
    </w:rPr>
  </w:style>
  <w:style w:type="paragraph" w:styleId="Heading1">
    <w:name w:val="heading 1"/>
    <w:basedOn w:val="Normal"/>
    <w:next w:val="Normal"/>
    <w:link w:val="Heading1Char"/>
    <w:uiPriority w:val="9"/>
    <w:qFormat/>
    <w:rsid w:val="00027A18"/>
    <w:pPr>
      <w:keepNext/>
      <w:keepLines/>
      <w:spacing w:before="120" w:after="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C6D00"/>
    <w:pPr>
      <w:keepNext/>
      <w:keepLines/>
      <w:numPr>
        <w:numId w:val="13"/>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C6D00"/>
    <w:pPr>
      <w:keepNext/>
      <w:keepLines/>
      <w:numPr>
        <w:numId w:val="17"/>
      </w:numPr>
      <w:spacing w:before="120" w:after="120"/>
      <w:outlineLvl w:val="2"/>
    </w:pPr>
    <w:rPr>
      <w:rFonts w:eastAsiaTheme="majorEastAsia" w:cstheme="majorBidi"/>
      <w:b/>
    </w:rPr>
  </w:style>
  <w:style w:type="paragraph" w:styleId="Heading4">
    <w:name w:val="heading 4"/>
    <w:basedOn w:val="Normal"/>
    <w:next w:val="Normal"/>
    <w:link w:val="Heading4Char"/>
    <w:qFormat/>
    <w:rsid w:val="00E2266F"/>
    <w:pPr>
      <w:keepNext/>
      <w:widowControl w:val="0"/>
      <w:jc w:val="center"/>
      <w:outlineLvl w:val="3"/>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A18"/>
    <w:rPr>
      <w:rFonts w:eastAsiaTheme="majorEastAsia" w:cstheme="majorBidi"/>
      <w:b/>
      <w:szCs w:val="32"/>
    </w:rPr>
  </w:style>
  <w:style w:type="character" w:customStyle="1" w:styleId="Heading2Char">
    <w:name w:val="Heading 2 Char"/>
    <w:basedOn w:val="DefaultParagraphFont"/>
    <w:link w:val="Heading2"/>
    <w:uiPriority w:val="9"/>
    <w:rsid w:val="003C6D00"/>
    <w:rPr>
      <w:rFonts w:eastAsiaTheme="majorEastAsia" w:cstheme="majorBidi"/>
      <w:b/>
      <w:szCs w:val="26"/>
    </w:rPr>
  </w:style>
  <w:style w:type="character" w:customStyle="1" w:styleId="Heading3Char">
    <w:name w:val="Heading 3 Char"/>
    <w:basedOn w:val="DefaultParagraphFont"/>
    <w:link w:val="Heading3"/>
    <w:uiPriority w:val="9"/>
    <w:rsid w:val="003C6D00"/>
    <w:rPr>
      <w:rFonts w:eastAsiaTheme="majorEastAsia" w:cstheme="majorBidi"/>
      <w:b/>
      <w:szCs w:val="24"/>
    </w:rPr>
  </w:style>
  <w:style w:type="character" w:customStyle="1" w:styleId="Heading4Char">
    <w:name w:val="Heading 4 Char"/>
    <w:basedOn w:val="DefaultParagraphFont"/>
    <w:link w:val="Heading4"/>
    <w:rsid w:val="00E2266F"/>
    <w:rPr>
      <w:rFonts w:eastAsia="MS Mincho"/>
      <w:b/>
      <w:color w:val="000000"/>
      <w:sz w:val="26"/>
      <w:szCs w:val="26"/>
    </w:rPr>
  </w:style>
  <w:style w:type="paragraph" w:styleId="BodyText2">
    <w:name w:val="Body Text 2"/>
    <w:basedOn w:val="Normal"/>
    <w:link w:val="BodyText2Char"/>
    <w:rsid w:val="00E2266F"/>
    <w:pPr>
      <w:spacing w:before="100" w:beforeAutospacing="1" w:after="100" w:afterAutospacing="1"/>
    </w:pPr>
  </w:style>
  <w:style w:type="character" w:customStyle="1" w:styleId="BodyText2Char">
    <w:name w:val="Body Text 2 Char"/>
    <w:basedOn w:val="DefaultParagraphFont"/>
    <w:link w:val="BodyText2"/>
    <w:rsid w:val="00E2266F"/>
    <w:rPr>
      <w:rFonts w:eastAsia="MS Mincho"/>
      <w:sz w:val="24"/>
      <w:szCs w:val="24"/>
    </w:rPr>
  </w:style>
  <w:style w:type="paragraph" w:styleId="Header">
    <w:name w:val="header"/>
    <w:basedOn w:val="Normal"/>
    <w:link w:val="HeaderChar"/>
    <w:uiPriority w:val="99"/>
    <w:rsid w:val="00E2266F"/>
    <w:pPr>
      <w:tabs>
        <w:tab w:val="center" w:pos="4320"/>
        <w:tab w:val="right" w:pos="8640"/>
      </w:tabs>
    </w:pPr>
  </w:style>
  <w:style w:type="character" w:customStyle="1" w:styleId="HeaderChar">
    <w:name w:val="Header Char"/>
    <w:basedOn w:val="DefaultParagraphFont"/>
    <w:link w:val="Header"/>
    <w:uiPriority w:val="99"/>
    <w:rsid w:val="00E2266F"/>
    <w:rPr>
      <w:rFonts w:eastAsia="MS Mincho"/>
      <w:sz w:val="24"/>
      <w:szCs w:val="24"/>
    </w:rPr>
  </w:style>
  <w:style w:type="character" w:styleId="PageNumber">
    <w:name w:val="page number"/>
    <w:basedOn w:val="DefaultParagraphFont"/>
    <w:rsid w:val="00E2266F"/>
  </w:style>
  <w:style w:type="paragraph" w:styleId="NormalWeb">
    <w:name w:val="Normal (Web)"/>
    <w:basedOn w:val="Normal"/>
    <w:uiPriority w:val="99"/>
    <w:unhideWhenUsed/>
    <w:rsid w:val="00E2266F"/>
    <w:pPr>
      <w:spacing w:before="100" w:beforeAutospacing="1" w:after="100" w:afterAutospacing="1"/>
    </w:pPr>
    <w:rPr>
      <w:color w:val="000000"/>
    </w:rPr>
  </w:style>
  <w:style w:type="paragraph" w:styleId="Footer">
    <w:name w:val="footer"/>
    <w:basedOn w:val="Normal"/>
    <w:link w:val="FooterChar"/>
    <w:uiPriority w:val="99"/>
    <w:rsid w:val="00E2266F"/>
    <w:pPr>
      <w:tabs>
        <w:tab w:val="center" w:pos="4320"/>
        <w:tab w:val="right" w:pos="8640"/>
      </w:tabs>
    </w:pPr>
  </w:style>
  <w:style w:type="character" w:customStyle="1" w:styleId="FooterChar">
    <w:name w:val="Footer Char"/>
    <w:basedOn w:val="DefaultParagraphFont"/>
    <w:link w:val="Footer"/>
    <w:uiPriority w:val="99"/>
    <w:rsid w:val="00E2266F"/>
    <w:rPr>
      <w:rFonts w:eastAsia="MS Mincho"/>
      <w:sz w:val="24"/>
      <w:szCs w:val="24"/>
    </w:rPr>
  </w:style>
  <w:style w:type="paragraph" w:styleId="BodyTextIndent">
    <w:name w:val="Body Text Indent"/>
    <w:basedOn w:val="Normal"/>
    <w:link w:val="BodyTextIndentChar"/>
    <w:rsid w:val="00E2266F"/>
    <w:pPr>
      <w:spacing w:after="120"/>
      <w:ind w:left="360"/>
    </w:pPr>
  </w:style>
  <w:style w:type="character" w:customStyle="1" w:styleId="BodyTextIndentChar">
    <w:name w:val="Body Text Indent Char"/>
    <w:basedOn w:val="DefaultParagraphFont"/>
    <w:link w:val="BodyTextIndent"/>
    <w:rsid w:val="00E2266F"/>
    <w:rPr>
      <w:rFonts w:eastAsia="MS Mincho"/>
      <w:sz w:val="24"/>
      <w:szCs w:val="24"/>
    </w:rPr>
  </w:style>
  <w:style w:type="paragraph" w:styleId="ListParagraph">
    <w:name w:val="List Paragraph"/>
    <w:basedOn w:val="Normal"/>
    <w:link w:val="ListParagraphChar"/>
    <w:uiPriority w:val="34"/>
    <w:qFormat/>
    <w:rsid w:val="00E2266F"/>
    <w:pPr>
      <w:ind w:left="720"/>
      <w:contextualSpacing/>
    </w:pPr>
  </w:style>
  <w:style w:type="character" w:customStyle="1" w:styleId="ListParagraphChar">
    <w:name w:val="List Paragraph Char"/>
    <w:link w:val="ListParagraph"/>
    <w:uiPriority w:val="34"/>
    <w:locked/>
    <w:rsid w:val="00AB2274"/>
    <w:rPr>
      <w:rFonts w:eastAsia="MS Mincho"/>
      <w:szCs w:val="24"/>
    </w:rPr>
  </w:style>
  <w:style w:type="paragraph" w:customStyle="1" w:styleId="Style1">
    <w:name w:val="Style1"/>
    <w:basedOn w:val="Normal"/>
    <w:rsid w:val="00E2266F"/>
    <w:pPr>
      <w:spacing w:before="120" w:after="120"/>
      <w:jc w:val="center"/>
    </w:pPr>
    <w:rPr>
      <w:rFonts w:ascii=".VnArial NarrowH" w:eastAsia="Times New Roman" w:hAnsi=".VnArial NarrowH"/>
      <w:b/>
      <w:szCs w:val="20"/>
    </w:rPr>
  </w:style>
  <w:style w:type="character" w:customStyle="1" w:styleId="Vnbnnidung">
    <w:name w:val="Văn bản nội dung_"/>
    <w:link w:val="Vnbnnidung0"/>
    <w:uiPriority w:val="99"/>
    <w:rsid w:val="004379C0"/>
    <w:rPr>
      <w:sz w:val="26"/>
      <w:szCs w:val="26"/>
    </w:rPr>
  </w:style>
  <w:style w:type="paragraph" w:customStyle="1" w:styleId="Vnbnnidung0">
    <w:name w:val="Văn bản nội dung"/>
    <w:basedOn w:val="Normal"/>
    <w:link w:val="Vnbnnidung"/>
    <w:uiPriority w:val="99"/>
    <w:rsid w:val="004379C0"/>
    <w:pPr>
      <w:widowControl w:val="0"/>
      <w:spacing w:after="100" w:line="276" w:lineRule="auto"/>
      <w:ind w:firstLine="400"/>
    </w:pPr>
    <w:rPr>
      <w:rFonts w:eastAsiaTheme="minorHAnsi"/>
      <w:sz w:val="26"/>
      <w:szCs w:val="26"/>
    </w:rPr>
  </w:style>
  <w:style w:type="character" w:customStyle="1" w:styleId="TTLChar">
    <w:name w:val="TT_LĐ Char"/>
    <w:link w:val="TTL"/>
    <w:semiHidden/>
    <w:locked/>
    <w:rsid w:val="00A11426"/>
    <w:rPr>
      <w:sz w:val="26"/>
      <w:szCs w:val="26"/>
    </w:rPr>
  </w:style>
  <w:style w:type="paragraph" w:customStyle="1" w:styleId="TTL">
    <w:name w:val="TT_LĐ"/>
    <w:basedOn w:val="NormalWeb"/>
    <w:link w:val="TTLChar"/>
    <w:semiHidden/>
    <w:qFormat/>
    <w:rsid w:val="00A11426"/>
    <w:pPr>
      <w:widowControl w:val="0"/>
      <w:spacing w:before="0" w:beforeAutospacing="0" w:after="0" w:afterAutospacing="0" w:line="312" w:lineRule="auto"/>
      <w:ind w:firstLine="454"/>
    </w:pPr>
    <w:rPr>
      <w:rFonts w:eastAsiaTheme="minorHAnsi"/>
      <w:color w:val="auto"/>
      <w:sz w:val="26"/>
      <w:szCs w:val="26"/>
    </w:rPr>
  </w:style>
  <w:style w:type="paragraph" w:styleId="BalloonText">
    <w:name w:val="Balloon Text"/>
    <w:basedOn w:val="Normal"/>
    <w:link w:val="BalloonTextChar"/>
    <w:uiPriority w:val="99"/>
    <w:semiHidden/>
    <w:unhideWhenUsed/>
    <w:rsid w:val="003C6D51"/>
    <w:rPr>
      <w:rFonts w:ascii="Tahoma" w:hAnsi="Tahoma" w:cs="Tahoma"/>
      <w:sz w:val="16"/>
      <w:szCs w:val="16"/>
    </w:rPr>
  </w:style>
  <w:style w:type="character" w:customStyle="1" w:styleId="BalloonTextChar">
    <w:name w:val="Balloon Text Char"/>
    <w:basedOn w:val="DefaultParagraphFont"/>
    <w:link w:val="BalloonText"/>
    <w:uiPriority w:val="99"/>
    <w:semiHidden/>
    <w:rsid w:val="003C6D51"/>
    <w:rPr>
      <w:rFonts w:ascii="Tahoma" w:eastAsia="MS Mincho" w:hAnsi="Tahoma" w:cs="Tahoma"/>
      <w:sz w:val="16"/>
      <w:szCs w:val="16"/>
    </w:rPr>
  </w:style>
  <w:style w:type="character" w:styleId="CommentReference">
    <w:name w:val="annotation reference"/>
    <w:basedOn w:val="DefaultParagraphFont"/>
    <w:uiPriority w:val="99"/>
    <w:semiHidden/>
    <w:unhideWhenUsed/>
    <w:rsid w:val="001444C2"/>
    <w:rPr>
      <w:sz w:val="16"/>
      <w:szCs w:val="16"/>
    </w:rPr>
  </w:style>
  <w:style w:type="paragraph" w:styleId="CommentText">
    <w:name w:val="annotation text"/>
    <w:basedOn w:val="Normal"/>
    <w:link w:val="CommentTextChar"/>
    <w:uiPriority w:val="99"/>
    <w:unhideWhenUsed/>
    <w:rsid w:val="001444C2"/>
    <w:rPr>
      <w:sz w:val="20"/>
      <w:szCs w:val="20"/>
    </w:rPr>
  </w:style>
  <w:style w:type="character" w:customStyle="1" w:styleId="CommentTextChar">
    <w:name w:val="Comment Text Char"/>
    <w:basedOn w:val="DefaultParagraphFont"/>
    <w:link w:val="CommentText"/>
    <w:uiPriority w:val="99"/>
    <w:rsid w:val="001444C2"/>
    <w:rPr>
      <w:rFonts w:eastAsia="MS Mincho"/>
      <w:sz w:val="20"/>
      <w:szCs w:val="20"/>
    </w:rPr>
  </w:style>
  <w:style w:type="paragraph" w:styleId="CommentSubject">
    <w:name w:val="annotation subject"/>
    <w:basedOn w:val="CommentText"/>
    <w:next w:val="CommentText"/>
    <w:link w:val="CommentSubjectChar"/>
    <w:uiPriority w:val="99"/>
    <w:semiHidden/>
    <w:unhideWhenUsed/>
    <w:rsid w:val="001444C2"/>
    <w:rPr>
      <w:b/>
      <w:bCs/>
    </w:rPr>
  </w:style>
  <w:style w:type="character" w:customStyle="1" w:styleId="CommentSubjectChar">
    <w:name w:val="Comment Subject Char"/>
    <w:basedOn w:val="CommentTextChar"/>
    <w:link w:val="CommentSubject"/>
    <w:uiPriority w:val="99"/>
    <w:semiHidden/>
    <w:rsid w:val="001444C2"/>
    <w:rPr>
      <w:rFonts w:eastAsia="MS Mincho"/>
      <w:b/>
      <w:bCs/>
      <w:sz w:val="20"/>
      <w:szCs w:val="20"/>
    </w:rPr>
  </w:style>
  <w:style w:type="paragraph" w:styleId="Revision">
    <w:name w:val="Revision"/>
    <w:hidden/>
    <w:uiPriority w:val="99"/>
    <w:semiHidden/>
    <w:rsid w:val="001444C2"/>
    <w:pPr>
      <w:spacing w:before="0" w:after="0"/>
      <w:ind w:firstLine="0"/>
      <w:jc w:val="left"/>
    </w:pPr>
    <w:rPr>
      <w:rFonts w:eastAsia="MS Mincho"/>
      <w:sz w:val="24"/>
      <w:szCs w:val="24"/>
    </w:rPr>
  </w:style>
  <w:style w:type="table" w:styleId="TableGrid">
    <w:name w:val="Table Grid"/>
    <w:basedOn w:val="TableNormal"/>
    <w:uiPriority w:val="39"/>
    <w:rsid w:val="008F28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52665"/>
    <w:pPr>
      <w:spacing w:before="0" w:after="0"/>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
    <w:basedOn w:val="Normal"/>
    <w:next w:val="Normal"/>
    <w:link w:val="SubtitleChar"/>
    <w:uiPriority w:val="11"/>
    <w:qFormat/>
    <w:rsid w:val="00CB0499"/>
    <w:pPr>
      <w:numPr>
        <w:ilvl w:val="1"/>
      </w:numPr>
      <w:spacing w:before="120" w:after="120"/>
    </w:pPr>
    <w:rPr>
      <w:rFonts w:eastAsiaTheme="minorEastAsia" w:cstheme="minorBidi"/>
      <w:szCs w:val="22"/>
    </w:rPr>
  </w:style>
  <w:style w:type="character" w:customStyle="1" w:styleId="SubtitleChar">
    <w:name w:val="Subtitle Char"/>
    <w:aliases w:val="Table Char"/>
    <w:basedOn w:val="DefaultParagraphFont"/>
    <w:link w:val="Subtitle"/>
    <w:uiPriority w:val="11"/>
    <w:rsid w:val="00CB0499"/>
    <w:rPr>
      <w:rFonts w:eastAsiaTheme="minorEastAsia" w:cstheme="minorBidi"/>
      <w:szCs w:val="22"/>
    </w:rPr>
  </w:style>
  <w:style w:type="character" w:styleId="Hyperlink">
    <w:name w:val="Hyperlink"/>
    <w:basedOn w:val="DefaultParagraphFont"/>
    <w:uiPriority w:val="99"/>
    <w:semiHidden/>
    <w:unhideWhenUsed/>
    <w:rsid w:val="00310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558">
      <w:bodyDiv w:val="1"/>
      <w:marLeft w:val="0"/>
      <w:marRight w:val="0"/>
      <w:marTop w:val="0"/>
      <w:marBottom w:val="0"/>
      <w:divBdr>
        <w:top w:val="none" w:sz="0" w:space="0" w:color="auto"/>
        <w:left w:val="none" w:sz="0" w:space="0" w:color="auto"/>
        <w:bottom w:val="none" w:sz="0" w:space="0" w:color="auto"/>
        <w:right w:val="none" w:sz="0" w:space="0" w:color="auto"/>
      </w:divBdr>
    </w:div>
    <w:div w:id="27603631">
      <w:bodyDiv w:val="1"/>
      <w:marLeft w:val="0"/>
      <w:marRight w:val="0"/>
      <w:marTop w:val="0"/>
      <w:marBottom w:val="0"/>
      <w:divBdr>
        <w:top w:val="none" w:sz="0" w:space="0" w:color="auto"/>
        <w:left w:val="none" w:sz="0" w:space="0" w:color="auto"/>
        <w:bottom w:val="none" w:sz="0" w:space="0" w:color="auto"/>
        <w:right w:val="none" w:sz="0" w:space="0" w:color="auto"/>
      </w:divBdr>
    </w:div>
    <w:div w:id="39785046">
      <w:bodyDiv w:val="1"/>
      <w:marLeft w:val="0"/>
      <w:marRight w:val="0"/>
      <w:marTop w:val="0"/>
      <w:marBottom w:val="0"/>
      <w:divBdr>
        <w:top w:val="none" w:sz="0" w:space="0" w:color="auto"/>
        <w:left w:val="none" w:sz="0" w:space="0" w:color="auto"/>
        <w:bottom w:val="none" w:sz="0" w:space="0" w:color="auto"/>
        <w:right w:val="none" w:sz="0" w:space="0" w:color="auto"/>
      </w:divBdr>
    </w:div>
    <w:div w:id="140925786">
      <w:bodyDiv w:val="1"/>
      <w:marLeft w:val="0"/>
      <w:marRight w:val="0"/>
      <w:marTop w:val="0"/>
      <w:marBottom w:val="0"/>
      <w:divBdr>
        <w:top w:val="none" w:sz="0" w:space="0" w:color="auto"/>
        <w:left w:val="none" w:sz="0" w:space="0" w:color="auto"/>
        <w:bottom w:val="none" w:sz="0" w:space="0" w:color="auto"/>
        <w:right w:val="none" w:sz="0" w:space="0" w:color="auto"/>
      </w:divBdr>
    </w:div>
    <w:div w:id="162094143">
      <w:bodyDiv w:val="1"/>
      <w:marLeft w:val="0"/>
      <w:marRight w:val="0"/>
      <w:marTop w:val="0"/>
      <w:marBottom w:val="0"/>
      <w:divBdr>
        <w:top w:val="none" w:sz="0" w:space="0" w:color="auto"/>
        <w:left w:val="none" w:sz="0" w:space="0" w:color="auto"/>
        <w:bottom w:val="none" w:sz="0" w:space="0" w:color="auto"/>
        <w:right w:val="none" w:sz="0" w:space="0" w:color="auto"/>
      </w:divBdr>
    </w:div>
    <w:div w:id="163933045">
      <w:bodyDiv w:val="1"/>
      <w:marLeft w:val="0"/>
      <w:marRight w:val="0"/>
      <w:marTop w:val="0"/>
      <w:marBottom w:val="0"/>
      <w:divBdr>
        <w:top w:val="none" w:sz="0" w:space="0" w:color="auto"/>
        <w:left w:val="none" w:sz="0" w:space="0" w:color="auto"/>
        <w:bottom w:val="none" w:sz="0" w:space="0" w:color="auto"/>
        <w:right w:val="none" w:sz="0" w:space="0" w:color="auto"/>
      </w:divBdr>
    </w:div>
    <w:div w:id="288777545">
      <w:bodyDiv w:val="1"/>
      <w:marLeft w:val="0"/>
      <w:marRight w:val="0"/>
      <w:marTop w:val="0"/>
      <w:marBottom w:val="0"/>
      <w:divBdr>
        <w:top w:val="none" w:sz="0" w:space="0" w:color="auto"/>
        <w:left w:val="none" w:sz="0" w:space="0" w:color="auto"/>
        <w:bottom w:val="none" w:sz="0" w:space="0" w:color="auto"/>
        <w:right w:val="none" w:sz="0" w:space="0" w:color="auto"/>
      </w:divBdr>
    </w:div>
    <w:div w:id="742723945">
      <w:bodyDiv w:val="1"/>
      <w:marLeft w:val="0"/>
      <w:marRight w:val="0"/>
      <w:marTop w:val="0"/>
      <w:marBottom w:val="0"/>
      <w:divBdr>
        <w:top w:val="none" w:sz="0" w:space="0" w:color="auto"/>
        <w:left w:val="none" w:sz="0" w:space="0" w:color="auto"/>
        <w:bottom w:val="none" w:sz="0" w:space="0" w:color="auto"/>
        <w:right w:val="none" w:sz="0" w:space="0" w:color="auto"/>
      </w:divBdr>
    </w:div>
    <w:div w:id="767233357">
      <w:bodyDiv w:val="1"/>
      <w:marLeft w:val="0"/>
      <w:marRight w:val="0"/>
      <w:marTop w:val="0"/>
      <w:marBottom w:val="0"/>
      <w:divBdr>
        <w:top w:val="none" w:sz="0" w:space="0" w:color="auto"/>
        <w:left w:val="none" w:sz="0" w:space="0" w:color="auto"/>
        <w:bottom w:val="none" w:sz="0" w:space="0" w:color="auto"/>
        <w:right w:val="none" w:sz="0" w:space="0" w:color="auto"/>
      </w:divBdr>
    </w:div>
    <w:div w:id="794953670">
      <w:bodyDiv w:val="1"/>
      <w:marLeft w:val="0"/>
      <w:marRight w:val="0"/>
      <w:marTop w:val="0"/>
      <w:marBottom w:val="0"/>
      <w:divBdr>
        <w:top w:val="none" w:sz="0" w:space="0" w:color="auto"/>
        <w:left w:val="none" w:sz="0" w:space="0" w:color="auto"/>
        <w:bottom w:val="none" w:sz="0" w:space="0" w:color="auto"/>
        <w:right w:val="none" w:sz="0" w:space="0" w:color="auto"/>
      </w:divBdr>
    </w:div>
    <w:div w:id="880673275">
      <w:bodyDiv w:val="1"/>
      <w:marLeft w:val="0"/>
      <w:marRight w:val="0"/>
      <w:marTop w:val="0"/>
      <w:marBottom w:val="0"/>
      <w:divBdr>
        <w:top w:val="none" w:sz="0" w:space="0" w:color="auto"/>
        <w:left w:val="none" w:sz="0" w:space="0" w:color="auto"/>
        <w:bottom w:val="none" w:sz="0" w:space="0" w:color="auto"/>
        <w:right w:val="none" w:sz="0" w:space="0" w:color="auto"/>
      </w:divBdr>
    </w:div>
    <w:div w:id="894118532">
      <w:bodyDiv w:val="1"/>
      <w:marLeft w:val="0"/>
      <w:marRight w:val="0"/>
      <w:marTop w:val="0"/>
      <w:marBottom w:val="0"/>
      <w:divBdr>
        <w:top w:val="none" w:sz="0" w:space="0" w:color="auto"/>
        <w:left w:val="none" w:sz="0" w:space="0" w:color="auto"/>
        <w:bottom w:val="none" w:sz="0" w:space="0" w:color="auto"/>
        <w:right w:val="none" w:sz="0" w:space="0" w:color="auto"/>
      </w:divBdr>
    </w:div>
    <w:div w:id="1166438401">
      <w:bodyDiv w:val="1"/>
      <w:marLeft w:val="0"/>
      <w:marRight w:val="0"/>
      <w:marTop w:val="0"/>
      <w:marBottom w:val="0"/>
      <w:divBdr>
        <w:top w:val="none" w:sz="0" w:space="0" w:color="auto"/>
        <w:left w:val="none" w:sz="0" w:space="0" w:color="auto"/>
        <w:bottom w:val="none" w:sz="0" w:space="0" w:color="auto"/>
        <w:right w:val="none" w:sz="0" w:space="0" w:color="auto"/>
      </w:divBdr>
    </w:div>
    <w:div w:id="1217859216">
      <w:bodyDiv w:val="1"/>
      <w:marLeft w:val="0"/>
      <w:marRight w:val="0"/>
      <w:marTop w:val="0"/>
      <w:marBottom w:val="0"/>
      <w:divBdr>
        <w:top w:val="none" w:sz="0" w:space="0" w:color="auto"/>
        <w:left w:val="none" w:sz="0" w:space="0" w:color="auto"/>
        <w:bottom w:val="none" w:sz="0" w:space="0" w:color="auto"/>
        <w:right w:val="none" w:sz="0" w:space="0" w:color="auto"/>
      </w:divBdr>
    </w:div>
    <w:div w:id="1305156787">
      <w:bodyDiv w:val="1"/>
      <w:marLeft w:val="0"/>
      <w:marRight w:val="0"/>
      <w:marTop w:val="0"/>
      <w:marBottom w:val="0"/>
      <w:divBdr>
        <w:top w:val="none" w:sz="0" w:space="0" w:color="auto"/>
        <w:left w:val="none" w:sz="0" w:space="0" w:color="auto"/>
        <w:bottom w:val="none" w:sz="0" w:space="0" w:color="auto"/>
        <w:right w:val="none" w:sz="0" w:space="0" w:color="auto"/>
      </w:divBdr>
    </w:div>
    <w:div w:id="1472670165">
      <w:bodyDiv w:val="1"/>
      <w:marLeft w:val="0"/>
      <w:marRight w:val="0"/>
      <w:marTop w:val="0"/>
      <w:marBottom w:val="0"/>
      <w:divBdr>
        <w:top w:val="none" w:sz="0" w:space="0" w:color="auto"/>
        <w:left w:val="none" w:sz="0" w:space="0" w:color="auto"/>
        <w:bottom w:val="none" w:sz="0" w:space="0" w:color="auto"/>
        <w:right w:val="none" w:sz="0" w:space="0" w:color="auto"/>
      </w:divBdr>
    </w:div>
    <w:div w:id="1599215746">
      <w:bodyDiv w:val="1"/>
      <w:marLeft w:val="0"/>
      <w:marRight w:val="0"/>
      <w:marTop w:val="0"/>
      <w:marBottom w:val="0"/>
      <w:divBdr>
        <w:top w:val="none" w:sz="0" w:space="0" w:color="auto"/>
        <w:left w:val="none" w:sz="0" w:space="0" w:color="auto"/>
        <w:bottom w:val="none" w:sz="0" w:space="0" w:color="auto"/>
        <w:right w:val="none" w:sz="0" w:space="0" w:color="auto"/>
      </w:divBdr>
    </w:div>
    <w:div w:id="1899050328">
      <w:bodyDiv w:val="1"/>
      <w:marLeft w:val="0"/>
      <w:marRight w:val="0"/>
      <w:marTop w:val="0"/>
      <w:marBottom w:val="0"/>
      <w:divBdr>
        <w:top w:val="none" w:sz="0" w:space="0" w:color="auto"/>
        <w:left w:val="none" w:sz="0" w:space="0" w:color="auto"/>
        <w:bottom w:val="none" w:sz="0" w:space="0" w:color="auto"/>
        <w:right w:val="none" w:sz="0" w:space="0" w:color="auto"/>
      </w:divBdr>
    </w:div>
    <w:div w:id="1981887099">
      <w:bodyDiv w:val="1"/>
      <w:marLeft w:val="0"/>
      <w:marRight w:val="0"/>
      <w:marTop w:val="0"/>
      <w:marBottom w:val="0"/>
      <w:divBdr>
        <w:top w:val="none" w:sz="0" w:space="0" w:color="auto"/>
        <w:left w:val="none" w:sz="0" w:space="0" w:color="auto"/>
        <w:bottom w:val="none" w:sz="0" w:space="0" w:color="auto"/>
        <w:right w:val="none" w:sz="0" w:space="0" w:color="auto"/>
      </w:divBdr>
    </w:div>
    <w:div w:id="2097901138">
      <w:bodyDiv w:val="1"/>
      <w:marLeft w:val="0"/>
      <w:marRight w:val="0"/>
      <w:marTop w:val="0"/>
      <w:marBottom w:val="0"/>
      <w:divBdr>
        <w:top w:val="none" w:sz="0" w:space="0" w:color="auto"/>
        <w:left w:val="none" w:sz="0" w:space="0" w:color="auto"/>
        <w:bottom w:val="none" w:sz="0" w:space="0" w:color="auto"/>
        <w:right w:val="none" w:sz="0" w:space="0" w:color="auto"/>
      </w:divBdr>
    </w:div>
    <w:div w:id="2107076549">
      <w:bodyDiv w:val="1"/>
      <w:marLeft w:val="0"/>
      <w:marRight w:val="0"/>
      <w:marTop w:val="0"/>
      <w:marBottom w:val="0"/>
      <w:divBdr>
        <w:top w:val="none" w:sz="0" w:space="0" w:color="auto"/>
        <w:left w:val="none" w:sz="0" w:space="0" w:color="auto"/>
        <w:bottom w:val="none" w:sz="0" w:space="0" w:color="auto"/>
        <w:right w:val="none" w:sz="0" w:space="0" w:color="auto"/>
      </w:divBdr>
      <w:divsChild>
        <w:div w:id="161624508">
          <w:marLeft w:val="0"/>
          <w:marRight w:val="0"/>
          <w:marTop w:val="0"/>
          <w:marBottom w:val="0"/>
          <w:divBdr>
            <w:top w:val="none" w:sz="0" w:space="0" w:color="auto"/>
            <w:left w:val="none" w:sz="0" w:space="0" w:color="auto"/>
            <w:bottom w:val="none" w:sz="0" w:space="0" w:color="auto"/>
            <w:right w:val="none" w:sz="0" w:space="0" w:color="auto"/>
          </w:divBdr>
        </w:div>
        <w:div w:id="836653691">
          <w:marLeft w:val="0"/>
          <w:marRight w:val="0"/>
          <w:marTop w:val="0"/>
          <w:marBottom w:val="0"/>
          <w:divBdr>
            <w:top w:val="none" w:sz="0" w:space="0" w:color="auto"/>
            <w:left w:val="none" w:sz="0" w:space="0" w:color="auto"/>
            <w:bottom w:val="none" w:sz="0" w:space="0" w:color="auto"/>
            <w:right w:val="none" w:sz="0" w:space="0" w:color="auto"/>
          </w:divBdr>
        </w:div>
        <w:div w:id="1675299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26"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6932E-5390-47C6-8454-C895F81715B4}">
  <ds:schemaRefs>
    <ds:schemaRef ds:uri="http://schemas.openxmlformats.org/officeDocument/2006/bibliography"/>
  </ds:schemaRefs>
</ds:datastoreItem>
</file>

<file path=customXml/itemProps2.xml><?xml version="1.0" encoding="utf-8"?>
<ds:datastoreItem xmlns:ds="http://schemas.openxmlformats.org/officeDocument/2006/customXml" ds:itemID="{AB8D7DC6-0C2C-4A79-9888-A44682F186E4}"/>
</file>

<file path=customXml/itemProps3.xml><?xml version="1.0" encoding="utf-8"?>
<ds:datastoreItem xmlns:ds="http://schemas.openxmlformats.org/officeDocument/2006/customXml" ds:itemID="{1B23943D-BD5D-490B-A64D-C5BFFC5082A2}"/>
</file>

<file path=customXml/itemProps4.xml><?xml version="1.0" encoding="utf-8"?>
<ds:datastoreItem xmlns:ds="http://schemas.openxmlformats.org/officeDocument/2006/customXml" ds:itemID="{326DE8C3-D310-470B-A0D9-C71F34DACA05}"/>
</file>

<file path=docProps/app.xml><?xml version="1.0" encoding="utf-8"?>
<Properties xmlns="http://schemas.openxmlformats.org/officeDocument/2006/extended-properties" xmlns:vt="http://schemas.openxmlformats.org/officeDocument/2006/docPropsVTypes">
  <Template>Normal.dotm</Template>
  <TotalTime>7</TotalTime>
  <Pages>4</Pages>
  <Words>1297</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Trang KSTTHC</dc:creator>
  <cp:lastModifiedBy>Nguyen Minh Hoang </cp:lastModifiedBy>
  <cp:revision>6</cp:revision>
  <cp:lastPrinted>2021-07-22T02:36:00Z</cp:lastPrinted>
  <dcterms:created xsi:type="dcterms:W3CDTF">2022-06-10T02:13:00Z</dcterms:created>
  <dcterms:modified xsi:type="dcterms:W3CDTF">2023-04-14T10:18:00Z</dcterms:modified>
</cp:coreProperties>
</file>